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0B8" w:rsidRPr="00747A6C" w:rsidRDefault="00331E7A" w:rsidP="00747A6C">
      <w:pPr>
        <w:pStyle w:val="Heading1"/>
        <w:spacing w:after="0" w:line="240" w:lineRule="auto"/>
        <w:rPr>
          <w:rFonts w:ascii="Arial" w:hAnsi="Arial" w:cs="Arial"/>
          <w:sz w:val="28"/>
          <w:szCs w:val="28"/>
        </w:rPr>
      </w:pPr>
      <w:r w:rsidRPr="00747A6C">
        <w:rPr>
          <w:rFonts w:ascii="Arial" w:hAnsi="Arial" w:cs="Arial"/>
          <w:sz w:val="28"/>
          <w:szCs w:val="28"/>
        </w:rPr>
        <w:t xml:space="preserve">Fostering </w:t>
      </w:r>
      <w:r w:rsidR="00541CE4" w:rsidRPr="00747A6C">
        <w:rPr>
          <w:rFonts w:ascii="Arial" w:hAnsi="Arial" w:cs="Arial"/>
          <w:sz w:val="28"/>
          <w:szCs w:val="28"/>
        </w:rPr>
        <w:t xml:space="preserve">internal </w:t>
      </w:r>
      <w:r w:rsidRPr="00747A6C">
        <w:rPr>
          <w:rFonts w:ascii="Arial" w:hAnsi="Arial" w:cs="Arial"/>
          <w:sz w:val="28"/>
          <w:szCs w:val="28"/>
        </w:rPr>
        <w:t xml:space="preserve">need for proof: </w:t>
      </w:r>
      <w:r w:rsidR="0092161C" w:rsidRPr="00747A6C">
        <w:rPr>
          <w:rFonts w:ascii="Arial" w:hAnsi="Arial" w:cs="Arial"/>
          <w:sz w:val="28"/>
          <w:szCs w:val="28"/>
        </w:rPr>
        <w:t>A reading</w:t>
      </w:r>
      <w:r w:rsidRPr="00747A6C">
        <w:rPr>
          <w:rFonts w:ascii="Arial" w:hAnsi="Arial" w:cs="Arial"/>
          <w:sz w:val="28"/>
          <w:szCs w:val="28"/>
        </w:rPr>
        <w:t xml:space="preserve"> of the genesis of proof in ancient Greece</w:t>
      </w:r>
      <w:r w:rsidR="005F4A20" w:rsidRPr="00747A6C">
        <w:rPr>
          <w:rStyle w:val="FootnoteReference"/>
          <w:rFonts w:ascii="Arial" w:hAnsi="Arial" w:cs="Arial"/>
          <w:sz w:val="28"/>
          <w:szCs w:val="28"/>
        </w:rPr>
        <w:footnoteReference w:id="1"/>
      </w:r>
    </w:p>
    <w:p w:rsidR="00747A6C" w:rsidRPr="00747A6C" w:rsidRDefault="00747A6C" w:rsidP="00747A6C">
      <w:pPr>
        <w:spacing w:after="0" w:line="240" w:lineRule="auto"/>
      </w:pPr>
    </w:p>
    <w:p w:rsidR="003740B8" w:rsidRPr="00747A6C" w:rsidRDefault="00323088" w:rsidP="00747A6C">
      <w:pPr>
        <w:spacing w:after="0" w:line="240" w:lineRule="auto"/>
        <w:jc w:val="center"/>
        <w:rPr>
          <w:rFonts w:ascii="Arial" w:hAnsi="Arial" w:cs="Arial"/>
        </w:rPr>
      </w:pPr>
      <w:r w:rsidRPr="00747A6C">
        <w:rPr>
          <w:rFonts w:ascii="Arial" w:hAnsi="Arial" w:cs="Arial"/>
        </w:rPr>
        <w:t xml:space="preserve">Andreas </w:t>
      </w:r>
      <w:proofErr w:type="spellStart"/>
      <w:r w:rsidRPr="00747A6C">
        <w:rPr>
          <w:rFonts w:ascii="Arial" w:hAnsi="Arial" w:cs="Arial"/>
        </w:rPr>
        <w:t>Moutsios-Rentzos</w:t>
      </w:r>
      <w:proofErr w:type="spellEnd"/>
      <w:r w:rsidRPr="00747A6C">
        <w:rPr>
          <w:rFonts w:ascii="Arial" w:hAnsi="Arial" w:cs="Arial"/>
        </w:rPr>
        <w:t xml:space="preserve"> &amp; </w:t>
      </w:r>
      <w:proofErr w:type="spellStart"/>
      <w:r w:rsidRPr="00747A6C">
        <w:rPr>
          <w:rFonts w:ascii="Arial" w:hAnsi="Arial" w:cs="Arial"/>
        </w:rPr>
        <w:t>Panagiotis</w:t>
      </w:r>
      <w:proofErr w:type="spellEnd"/>
      <w:r w:rsidRPr="00747A6C">
        <w:rPr>
          <w:rFonts w:ascii="Arial" w:hAnsi="Arial" w:cs="Arial"/>
        </w:rPr>
        <w:t xml:space="preserve"> </w:t>
      </w:r>
      <w:proofErr w:type="spellStart"/>
      <w:r w:rsidRPr="00747A6C">
        <w:rPr>
          <w:rFonts w:ascii="Arial" w:hAnsi="Arial" w:cs="Arial"/>
        </w:rPr>
        <w:t>Spyrou</w:t>
      </w:r>
      <w:proofErr w:type="spellEnd"/>
    </w:p>
    <w:p w:rsidR="00747A6C" w:rsidRDefault="00747A6C" w:rsidP="00747A6C">
      <w:pPr>
        <w:spacing w:after="0" w:line="240" w:lineRule="auto"/>
        <w:jc w:val="center"/>
        <w:rPr>
          <w:rFonts w:ascii="Arial" w:hAnsi="Arial" w:cs="Arial"/>
          <w:sz w:val="24"/>
          <w:szCs w:val="24"/>
        </w:rPr>
      </w:pPr>
    </w:p>
    <w:p w:rsidR="003740B8" w:rsidRPr="00747A6C" w:rsidRDefault="00747A6C" w:rsidP="00747A6C">
      <w:pPr>
        <w:spacing w:after="0" w:line="240" w:lineRule="auto"/>
        <w:jc w:val="center"/>
        <w:rPr>
          <w:rFonts w:ascii="Arial" w:hAnsi="Arial" w:cs="Arial"/>
          <w:sz w:val="24"/>
          <w:szCs w:val="24"/>
        </w:rPr>
      </w:pPr>
      <w:r w:rsidRPr="00747A6C">
        <w:rPr>
          <w:rFonts w:ascii="Arial" w:hAnsi="Arial" w:cs="Arial"/>
          <w:sz w:val="24"/>
          <w:szCs w:val="24"/>
        </w:rPr>
        <w:t>University of Athens</w:t>
      </w:r>
      <w:r w:rsidR="00323088" w:rsidRPr="00747A6C">
        <w:rPr>
          <w:rFonts w:ascii="Arial" w:hAnsi="Arial" w:cs="Arial"/>
          <w:sz w:val="24"/>
          <w:szCs w:val="24"/>
        </w:rPr>
        <w:t>, Greece</w:t>
      </w:r>
    </w:p>
    <w:p w:rsidR="003D43AF" w:rsidRPr="00747A6C" w:rsidRDefault="003D43AF" w:rsidP="00747A6C">
      <w:pPr>
        <w:spacing w:after="0" w:line="240" w:lineRule="auto"/>
        <w:jc w:val="center"/>
        <w:rPr>
          <w:rFonts w:ascii="Arial" w:hAnsi="Arial" w:cs="Arial"/>
          <w:sz w:val="24"/>
          <w:szCs w:val="24"/>
        </w:rPr>
      </w:pPr>
      <w:proofErr w:type="spellStart"/>
      <w:r w:rsidRPr="00747A6C">
        <w:rPr>
          <w:rFonts w:ascii="Arial" w:hAnsi="Arial" w:cs="Arial"/>
          <w:sz w:val="24"/>
          <w:szCs w:val="24"/>
        </w:rPr>
        <w:t>Moutsiosrent</w:t>
      </w:r>
      <w:proofErr w:type="spellEnd"/>
      <w:r w:rsidRPr="00747A6C">
        <w:rPr>
          <w:rFonts w:ascii="Arial" w:hAnsi="Arial" w:cs="Arial"/>
          <w:sz w:val="24"/>
          <w:szCs w:val="24"/>
        </w:rPr>
        <w:t xml:space="preserve"> @ math.uoa.gr</w:t>
      </w:r>
    </w:p>
    <w:p w:rsidR="003D43AF" w:rsidRDefault="003D43AF">
      <w:pPr>
        <w:jc w:val="center"/>
      </w:pPr>
    </w:p>
    <w:p w:rsidR="00747A6C" w:rsidRDefault="00747A6C">
      <w:pPr>
        <w:jc w:val="center"/>
      </w:pPr>
    </w:p>
    <w:p w:rsidR="00747A6C" w:rsidRDefault="007C5246" w:rsidP="00747A6C">
      <w:pPr>
        <w:jc w:val="center"/>
        <w:rPr>
          <w:iCs/>
        </w:rPr>
      </w:pPr>
      <w:r w:rsidRPr="007C5246">
        <w:rPr>
          <w:b/>
          <w:iCs/>
        </w:rPr>
        <w:t>Abstract</w:t>
      </w:r>
    </w:p>
    <w:p w:rsidR="003740B8" w:rsidRDefault="00FA4642" w:rsidP="00747A6C">
      <w:pPr>
        <w:spacing w:line="240" w:lineRule="auto"/>
        <w:ind w:left="284" w:right="284"/>
        <w:rPr>
          <w:i/>
          <w:iCs/>
        </w:rPr>
      </w:pPr>
      <w:r w:rsidRPr="00FA4642">
        <w:rPr>
          <w:i/>
          <w:iCs/>
        </w:rPr>
        <w:t>The students’ internal need for proof is at the crux of their learning mathematics</w:t>
      </w:r>
      <w:r>
        <w:rPr>
          <w:i/>
          <w:iCs/>
        </w:rPr>
        <w:t>.</w:t>
      </w:r>
      <w:r w:rsidRPr="00FA4642">
        <w:rPr>
          <w:i/>
          <w:iCs/>
        </w:rPr>
        <w:t xml:space="preserve"> </w:t>
      </w:r>
      <w:r w:rsidR="00323088">
        <w:rPr>
          <w:i/>
          <w:iCs/>
        </w:rPr>
        <w:t>In this essay</w:t>
      </w:r>
      <w:r w:rsidR="00A40F6F">
        <w:rPr>
          <w:i/>
          <w:iCs/>
        </w:rPr>
        <w:t>,</w:t>
      </w:r>
      <w:r w:rsidR="00323088">
        <w:rPr>
          <w:i/>
          <w:iCs/>
        </w:rPr>
        <w:t xml:space="preserve"> we present a </w:t>
      </w:r>
      <w:r w:rsidR="00022FA1">
        <w:rPr>
          <w:i/>
          <w:iCs/>
        </w:rPr>
        <w:t xml:space="preserve">multi-faceted </w:t>
      </w:r>
      <w:r w:rsidR="00323088">
        <w:rPr>
          <w:i/>
          <w:iCs/>
        </w:rPr>
        <w:t xml:space="preserve">reading of the </w:t>
      </w:r>
      <w:r w:rsidR="00022FA1">
        <w:rPr>
          <w:i/>
          <w:iCs/>
        </w:rPr>
        <w:t xml:space="preserve">historical </w:t>
      </w:r>
      <w:r w:rsidR="00323088">
        <w:rPr>
          <w:i/>
          <w:iCs/>
        </w:rPr>
        <w:t>genesis of proof in ancient Greece</w:t>
      </w:r>
      <w:r w:rsidR="00541CE4">
        <w:rPr>
          <w:i/>
          <w:iCs/>
        </w:rPr>
        <w:t>, including socio-cultural, economic and epistemological aspects.</w:t>
      </w:r>
      <w:r w:rsidR="00323088">
        <w:rPr>
          <w:i/>
          <w:iCs/>
        </w:rPr>
        <w:t xml:space="preserve"> We argue that </w:t>
      </w:r>
      <w:r w:rsidR="00541CE4">
        <w:rPr>
          <w:i/>
          <w:iCs/>
        </w:rPr>
        <w:t xml:space="preserve">by re-visiting this reading through Husserl’s transcendental phenomenology </w:t>
      </w:r>
      <w:r w:rsidR="00323088">
        <w:rPr>
          <w:i/>
          <w:iCs/>
        </w:rPr>
        <w:t xml:space="preserve">a didactical framework that fosters the students’ </w:t>
      </w:r>
      <w:r w:rsidR="00541CE4">
        <w:rPr>
          <w:i/>
          <w:iCs/>
        </w:rPr>
        <w:t xml:space="preserve">fully-fledged </w:t>
      </w:r>
      <w:r w:rsidR="00323088">
        <w:rPr>
          <w:i/>
          <w:iCs/>
        </w:rPr>
        <w:t xml:space="preserve">need for proof may be </w:t>
      </w:r>
      <w:r w:rsidR="00A40F6F">
        <w:rPr>
          <w:i/>
          <w:iCs/>
        </w:rPr>
        <w:t>built</w:t>
      </w:r>
      <w:r w:rsidR="003740B8" w:rsidRPr="008A4E27">
        <w:rPr>
          <w:i/>
          <w:iCs/>
        </w:rPr>
        <w:t>.</w:t>
      </w:r>
      <w:r w:rsidR="00323088">
        <w:rPr>
          <w:i/>
          <w:iCs/>
        </w:rPr>
        <w:t xml:space="preserve"> Importantly, we posit that</w:t>
      </w:r>
      <w:r w:rsidR="007D4416">
        <w:rPr>
          <w:i/>
          <w:iCs/>
        </w:rPr>
        <w:t>, in contrast with existing approaches,</w:t>
      </w:r>
      <w:r w:rsidR="00323088">
        <w:rPr>
          <w:i/>
          <w:iCs/>
        </w:rPr>
        <w:t xml:space="preserve"> this framework allows for the students’ developing internal need for organising </w:t>
      </w:r>
      <w:r w:rsidR="00A40F6F">
        <w:rPr>
          <w:i/>
          <w:iCs/>
        </w:rPr>
        <w:t xml:space="preserve">the corpus of </w:t>
      </w:r>
      <w:r w:rsidR="00323088">
        <w:rPr>
          <w:i/>
          <w:iCs/>
        </w:rPr>
        <w:t>mathematical knowledge</w:t>
      </w:r>
      <w:r w:rsidR="00A40F6F">
        <w:rPr>
          <w:i/>
          <w:iCs/>
        </w:rPr>
        <w:t xml:space="preserve"> within a deductively derived structure.</w:t>
      </w:r>
    </w:p>
    <w:p w:rsidR="007C5246" w:rsidRPr="007C5246" w:rsidRDefault="007C5246" w:rsidP="008A4E27">
      <w:pPr>
        <w:rPr>
          <w:i/>
          <w:iCs/>
        </w:rPr>
      </w:pPr>
      <w:r w:rsidRPr="007C5246">
        <w:rPr>
          <w:b/>
          <w:iCs/>
        </w:rPr>
        <w:t>Keywords</w:t>
      </w:r>
      <w:r>
        <w:rPr>
          <w:iCs/>
        </w:rPr>
        <w:t xml:space="preserve">: </w:t>
      </w:r>
      <w:r>
        <w:rPr>
          <w:i/>
          <w:iCs/>
        </w:rPr>
        <w:t xml:space="preserve">need for proof; proof; argument; polis; </w:t>
      </w:r>
      <w:r w:rsidR="00541CE4">
        <w:rPr>
          <w:i/>
          <w:iCs/>
        </w:rPr>
        <w:t xml:space="preserve">Husserl; </w:t>
      </w:r>
      <w:r>
        <w:rPr>
          <w:i/>
          <w:iCs/>
        </w:rPr>
        <w:t>phenomenology</w:t>
      </w:r>
    </w:p>
    <w:p w:rsidR="007C5246" w:rsidRPr="008A4E27" w:rsidRDefault="007C5246" w:rsidP="008A4E27">
      <w:pPr>
        <w:rPr>
          <w:i/>
          <w:iCs/>
        </w:rPr>
      </w:pPr>
    </w:p>
    <w:p w:rsidR="003740B8" w:rsidRDefault="00A43431">
      <w:pPr>
        <w:pStyle w:val="Heading2"/>
      </w:pPr>
      <w:r>
        <w:t>The students’ need for proof</w:t>
      </w:r>
    </w:p>
    <w:p w:rsidR="00EE770D" w:rsidRDefault="00EE770D">
      <w:r w:rsidRPr="00EE770D">
        <w:t>The notion of proof is at</w:t>
      </w:r>
      <w:r>
        <w:t xml:space="preserve"> the crux of modern mathematics, constituting the backbone of the axiomatic system implied by Euclid.</w:t>
      </w:r>
      <w:r w:rsidR="00781B5B">
        <w:t xml:space="preserve"> M</w:t>
      </w:r>
      <w:r w:rsidRPr="00EE770D">
        <w:t xml:space="preserve">athematics educators have </w:t>
      </w:r>
      <w:r w:rsidR="00781B5B">
        <w:t xml:space="preserve">investigated </w:t>
      </w:r>
      <w:r w:rsidRPr="00EE770D">
        <w:t xml:space="preserve">the </w:t>
      </w:r>
      <w:r w:rsidR="00781B5B">
        <w:t>phenomena related to proof from various perspectives, cons</w:t>
      </w:r>
      <w:r w:rsidR="00232004">
        <w:t>idering different protagonists</w:t>
      </w:r>
      <w:r w:rsidR="00541CE4">
        <w:t xml:space="preserve"> (including </w:t>
      </w:r>
      <w:r w:rsidR="00781B5B">
        <w:t xml:space="preserve">the </w:t>
      </w:r>
      <w:r w:rsidR="00541CE4">
        <w:t>students, the teachers, the research mathematicians)</w:t>
      </w:r>
      <w:r w:rsidR="00DD1984">
        <w:t xml:space="preserve">, researching, amongst others, their </w:t>
      </w:r>
      <w:r w:rsidR="00781B5B">
        <w:t xml:space="preserve">conceptions </w:t>
      </w:r>
      <w:r w:rsidRPr="00EE770D">
        <w:t>of proof</w:t>
      </w:r>
      <w:r w:rsidR="00410509">
        <w:t xml:space="preserve"> and its </w:t>
      </w:r>
      <w:r w:rsidRPr="00EE770D">
        <w:t xml:space="preserve">functions, their </w:t>
      </w:r>
      <w:r w:rsidR="00410509">
        <w:t xml:space="preserve">cognitive and affective </w:t>
      </w:r>
      <w:r w:rsidRPr="00EE770D">
        <w:t xml:space="preserve">proving </w:t>
      </w:r>
      <w:r w:rsidR="00781B5B">
        <w:t xml:space="preserve">products and </w:t>
      </w:r>
      <w:r w:rsidRPr="00EE770D">
        <w:t>process</w:t>
      </w:r>
      <w:r w:rsidR="00781B5B">
        <w:t>es</w:t>
      </w:r>
      <w:r w:rsidRPr="00EE770D">
        <w:t xml:space="preserve"> (Boero, 2007; </w:t>
      </w:r>
      <w:proofErr w:type="spellStart"/>
      <w:r>
        <w:t>Moutsios-Rentzos</w:t>
      </w:r>
      <w:proofErr w:type="spellEnd"/>
      <w:r>
        <w:t xml:space="preserve"> &amp; </w:t>
      </w:r>
      <w:proofErr w:type="spellStart"/>
      <w:r>
        <w:t>Kalozoumi-Paizi</w:t>
      </w:r>
      <w:proofErr w:type="spellEnd"/>
      <w:r>
        <w:t xml:space="preserve">, </w:t>
      </w:r>
      <w:r w:rsidR="007D4416">
        <w:t>2014</w:t>
      </w:r>
      <w:r w:rsidRPr="00EE770D">
        <w:t xml:space="preserve">; Reid &amp; </w:t>
      </w:r>
      <w:proofErr w:type="spellStart"/>
      <w:r w:rsidRPr="00EE770D">
        <w:t>Knipping</w:t>
      </w:r>
      <w:proofErr w:type="spellEnd"/>
      <w:r w:rsidRPr="00EE770D">
        <w:t>, 2010).</w:t>
      </w:r>
    </w:p>
    <w:p w:rsidR="00E4029C" w:rsidRDefault="001127FC" w:rsidP="00E4029C">
      <w:r>
        <w:t xml:space="preserve">Researchers have documented various functions of proof including </w:t>
      </w:r>
      <w:r w:rsidRPr="001127FC">
        <w:t>verification, communicati</w:t>
      </w:r>
      <w:r w:rsidR="00CD2674">
        <w:t>on, explanation and systemisation (</w:t>
      </w:r>
      <w:r w:rsidRPr="001127FC">
        <w:t>Hanna, 2000)</w:t>
      </w:r>
      <w:r w:rsidR="00CD2674">
        <w:t>. Nevertheles</w:t>
      </w:r>
      <w:r w:rsidR="00410509">
        <w:t>s, it appears that the students</w:t>
      </w:r>
      <w:r w:rsidR="00CD2674">
        <w:t xml:space="preserve"> do not share these conceptions</w:t>
      </w:r>
      <w:r w:rsidR="00410509">
        <w:t>.</w:t>
      </w:r>
      <w:r w:rsidR="00CD2674">
        <w:t xml:space="preserve"> </w:t>
      </w:r>
      <w:r w:rsidR="00410509">
        <w:t xml:space="preserve">For example, </w:t>
      </w:r>
      <w:r w:rsidR="00CD2674">
        <w:t>high-school students appear to consider proof as means</w:t>
      </w:r>
      <w:r w:rsidR="00232004">
        <w:t xml:space="preserve"> for establishing verification </w:t>
      </w:r>
      <w:r w:rsidR="00CD2674">
        <w:t>and to a lesser extent for explaining and communicating (</w:t>
      </w:r>
      <w:r w:rsidR="00CD2674" w:rsidRPr="00CD2674">
        <w:t xml:space="preserve">Healy &amp; </w:t>
      </w:r>
      <w:proofErr w:type="spellStart"/>
      <w:r w:rsidR="00CD2674" w:rsidRPr="00CD2674">
        <w:t>Hoyles</w:t>
      </w:r>
      <w:proofErr w:type="spellEnd"/>
      <w:r w:rsidR="00CD2674" w:rsidRPr="00CD2674">
        <w:t>, 2000</w:t>
      </w:r>
      <w:r w:rsidR="00CD2674">
        <w:t xml:space="preserve">). </w:t>
      </w:r>
      <w:r w:rsidR="002C43F4">
        <w:t xml:space="preserve">Moreover, </w:t>
      </w:r>
      <w:r w:rsidR="002C43F4" w:rsidRPr="00CD2674">
        <w:t>mathematics undergraduates</w:t>
      </w:r>
      <w:r w:rsidR="002C43F4">
        <w:t xml:space="preserve"> </w:t>
      </w:r>
      <w:r w:rsidR="00BF5698">
        <w:t>would employ mathematical proof as an exam-</w:t>
      </w:r>
      <w:r w:rsidR="00BF5698">
        <w:lastRenderedPageBreak/>
        <w:t>appropriate answer, but they m</w:t>
      </w:r>
      <w:r w:rsidR="002C43F4">
        <w:t>ay choose a ‘softer’ argument (</w:t>
      </w:r>
      <w:r w:rsidR="001A7D1D">
        <w:t xml:space="preserve">including, </w:t>
      </w:r>
      <w:r w:rsidR="007D4416">
        <w:t xml:space="preserve">an </w:t>
      </w:r>
      <w:r w:rsidR="002C43F4">
        <w:t xml:space="preserve">example, </w:t>
      </w:r>
      <w:r w:rsidR="007D4416">
        <w:t xml:space="preserve">a </w:t>
      </w:r>
      <w:r w:rsidR="00BF5698">
        <w:t xml:space="preserve">figure etc) to convince </w:t>
      </w:r>
      <w:proofErr w:type="gramStart"/>
      <w:r w:rsidR="00BF5698">
        <w:t>themselves</w:t>
      </w:r>
      <w:proofErr w:type="gramEnd"/>
      <w:r w:rsidR="00CD2674" w:rsidRPr="00CD2674">
        <w:t xml:space="preserve"> (</w:t>
      </w:r>
      <w:proofErr w:type="spellStart"/>
      <w:r w:rsidR="00CD2674" w:rsidRPr="00CD2674">
        <w:t>Moutsios-Rentzos</w:t>
      </w:r>
      <w:proofErr w:type="spellEnd"/>
      <w:r w:rsidR="00CD2674" w:rsidRPr="00CD2674">
        <w:t xml:space="preserve"> &amp; Simpson, 2011).</w:t>
      </w:r>
      <w:r w:rsidR="00362E1D">
        <w:t xml:space="preserve"> </w:t>
      </w:r>
      <w:r w:rsidR="002C43F4">
        <w:t>T</w:t>
      </w:r>
      <w:r w:rsidR="00362E1D">
        <w:t xml:space="preserve">hough the students may produce a proof to meet the externally-set requirements of a task, their internal need for proof </w:t>
      </w:r>
      <w:r w:rsidR="00410509">
        <w:t>seems</w:t>
      </w:r>
      <w:r w:rsidR="00362E1D">
        <w:t xml:space="preserve"> not to necessarily be in line with a fully-fledged conception of proof. </w:t>
      </w:r>
      <w:r w:rsidR="002578B3">
        <w:t>T</w:t>
      </w:r>
      <w:r w:rsidR="00E4029C">
        <w:t xml:space="preserve">he students </w:t>
      </w:r>
      <w:r w:rsidR="00CD2674" w:rsidRPr="00CD2674">
        <w:t>need a reason to produce a proof</w:t>
      </w:r>
      <w:r w:rsidR="002578B3">
        <w:t xml:space="preserve"> (</w:t>
      </w:r>
      <w:proofErr w:type="spellStart"/>
      <w:r w:rsidR="002578B3">
        <w:t>Balacheff</w:t>
      </w:r>
      <w:proofErr w:type="spellEnd"/>
      <w:r w:rsidR="002578B3">
        <w:t>, 1991)</w:t>
      </w:r>
      <w:r w:rsidR="0016540B">
        <w:t>;</w:t>
      </w:r>
      <w:r w:rsidR="002C43F4">
        <w:t xml:space="preserve"> </w:t>
      </w:r>
      <w:r w:rsidR="0016540B">
        <w:t xml:space="preserve">a reason that </w:t>
      </w:r>
      <w:r w:rsidR="00E4029C">
        <w:t xml:space="preserve">may </w:t>
      </w:r>
      <w:r w:rsidR="0016540B">
        <w:t>be externally or internally referenced</w:t>
      </w:r>
      <w:r w:rsidR="00BC658D">
        <w:t xml:space="preserve"> </w:t>
      </w:r>
      <w:r w:rsidR="00CD2674" w:rsidRPr="00CD2674">
        <w:t>(</w:t>
      </w:r>
      <w:proofErr w:type="spellStart"/>
      <w:r w:rsidR="00CD2674" w:rsidRPr="00CD2674">
        <w:t>Mo</w:t>
      </w:r>
      <w:r w:rsidR="002578B3">
        <w:t>utsios-Rentzos</w:t>
      </w:r>
      <w:proofErr w:type="spellEnd"/>
      <w:r w:rsidR="002578B3">
        <w:t>, 20</w:t>
      </w:r>
      <w:r w:rsidR="009C4094">
        <w:t>09</w:t>
      </w:r>
      <w:r w:rsidR="002578B3">
        <w:t>)</w:t>
      </w:r>
      <w:r w:rsidR="00E660A0">
        <w:t>.</w:t>
      </w:r>
    </w:p>
    <w:p w:rsidR="00E660A0" w:rsidRDefault="00E4029C" w:rsidP="00E4029C">
      <w:proofErr w:type="spellStart"/>
      <w:r w:rsidRPr="00E4029C">
        <w:t>Zaslavsky</w:t>
      </w:r>
      <w:proofErr w:type="spellEnd"/>
      <w:r w:rsidRPr="00E4029C">
        <w:t xml:space="preserve">, Nickerson, </w:t>
      </w:r>
      <w:proofErr w:type="spellStart"/>
      <w:r w:rsidRPr="00E4029C">
        <w:t>Stylianides</w:t>
      </w:r>
      <w:proofErr w:type="spellEnd"/>
      <w:r w:rsidRPr="00E4029C">
        <w:t xml:space="preserve">, </w:t>
      </w:r>
      <w:proofErr w:type="spellStart"/>
      <w:r w:rsidRPr="00E4029C">
        <w:t>Kidron</w:t>
      </w:r>
      <w:proofErr w:type="spellEnd"/>
      <w:r w:rsidRPr="00E4029C">
        <w:t xml:space="preserve"> and </w:t>
      </w:r>
      <w:proofErr w:type="spellStart"/>
      <w:r w:rsidRPr="00E4029C">
        <w:t>Winicki-Landman</w:t>
      </w:r>
      <w:proofErr w:type="spellEnd"/>
      <w:r w:rsidRPr="00E4029C">
        <w:t xml:space="preserve"> (2012) </w:t>
      </w:r>
      <w:r>
        <w:t>discussed</w:t>
      </w:r>
      <w:r w:rsidRPr="00E4029C">
        <w:t xml:space="preserve"> </w:t>
      </w:r>
      <w:r>
        <w:t xml:space="preserve">the </w:t>
      </w:r>
      <w:r w:rsidRPr="00E4029C">
        <w:t xml:space="preserve">mathematical and pedagogical </w:t>
      </w:r>
      <w:r>
        <w:t xml:space="preserve">aspects </w:t>
      </w:r>
      <w:r w:rsidRPr="00E4029C">
        <w:t>about the need for proof</w:t>
      </w:r>
      <w:r>
        <w:t xml:space="preserve">, differentiating internal needs amongst: </w:t>
      </w:r>
      <w:r w:rsidR="002D1D32">
        <w:t xml:space="preserve">a) </w:t>
      </w:r>
      <w:r w:rsidR="00CD2674" w:rsidRPr="00CD2674">
        <w:rPr>
          <w:i/>
        </w:rPr>
        <w:t>certainty</w:t>
      </w:r>
      <w:r w:rsidR="00CD2674" w:rsidRPr="00CD2674">
        <w:t xml:space="preserve"> (</w:t>
      </w:r>
      <w:r w:rsidR="002D1D32">
        <w:t xml:space="preserve">referring to the </w:t>
      </w:r>
      <w:r w:rsidR="00CD2674" w:rsidRPr="00CD2674">
        <w:t xml:space="preserve">verification of the truth of a statement), </w:t>
      </w:r>
      <w:r w:rsidR="002D1D32">
        <w:t xml:space="preserve">b) </w:t>
      </w:r>
      <w:r w:rsidR="00CD2674" w:rsidRPr="00CD2674">
        <w:rPr>
          <w:i/>
        </w:rPr>
        <w:t>causality</w:t>
      </w:r>
      <w:r w:rsidR="00CD2674" w:rsidRPr="00CD2674">
        <w:t xml:space="preserve"> (</w:t>
      </w:r>
      <w:r w:rsidR="002D1D32">
        <w:t xml:space="preserve">concerning the reasons </w:t>
      </w:r>
      <w:r w:rsidR="00CD2674" w:rsidRPr="00CD2674">
        <w:t xml:space="preserve">why a statement is true), </w:t>
      </w:r>
      <w:r w:rsidR="002D1D32">
        <w:t xml:space="preserve">c) </w:t>
      </w:r>
      <w:r w:rsidR="00CD2674" w:rsidRPr="00CD2674">
        <w:rPr>
          <w:i/>
        </w:rPr>
        <w:t>computation</w:t>
      </w:r>
      <w:r w:rsidR="00CD2674" w:rsidRPr="00CD2674">
        <w:t xml:space="preserve"> (</w:t>
      </w:r>
      <w:r w:rsidR="002D1D32">
        <w:t xml:space="preserve">including the </w:t>
      </w:r>
      <w:r w:rsidR="00CD2674" w:rsidRPr="00CD2674">
        <w:t xml:space="preserve">quantification of definitions, properties or relationships through algebraic symbolism), </w:t>
      </w:r>
      <w:r w:rsidR="002D1D32">
        <w:t xml:space="preserve">d) </w:t>
      </w:r>
      <w:r w:rsidR="00CD2674" w:rsidRPr="00CD2674">
        <w:rPr>
          <w:i/>
        </w:rPr>
        <w:t>communication</w:t>
      </w:r>
      <w:r w:rsidR="00CD2674" w:rsidRPr="00CD2674">
        <w:t xml:space="preserve"> (</w:t>
      </w:r>
      <w:r w:rsidR="002D1D32">
        <w:t xml:space="preserve">concerning the </w:t>
      </w:r>
      <w:r w:rsidR="00CD2674" w:rsidRPr="00CD2674">
        <w:t>formulation and formalisation in conveying ideas)</w:t>
      </w:r>
      <w:r w:rsidR="00410509">
        <w:t>,</w:t>
      </w:r>
      <w:r w:rsidR="009C4094">
        <w:t xml:space="preserve"> and</w:t>
      </w:r>
      <w:r w:rsidR="00CD2674" w:rsidRPr="00CD2674">
        <w:t xml:space="preserve"> </w:t>
      </w:r>
      <w:r w:rsidR="002D1D32">
        <w:t xml:space="preserve">e) </w:t>
      </w:r>
      <w:r w:rsidR="00CD2674" w:rsidRPr="00CD2674">
        <w:rPr>
          <w:i/>
        </w:rPr>
        <w:t>structure</w:t>
      </w:r>
      <w:r w:rsidR="00CD2674" w:rsidRPr="00CD2674">
        <w:t xml:space="preserve"> (</w:t>
      </w:r>
      <w:r w:rsidR="002D1D32">
        <w:t xml:space="preserve">referring to the </w:t>
      </w:r>
      <w:r w:rsidR="00CD2674" w:rsidRPr="00CD2674">
        <w:t>logical re-organisation of</w:t>
      </w:r>
      <w:r w:rsidR="002D1D32">
        <w:t xml:space="preserve"> the constructed mathematical</w:t>
      </w:r>
      <w:r w:rsidR="00CD2674" w:rsidRPr="00CD2674">
        <w:t xml:space="preserve"> knowledge).</w:t>
      </w:r>
    </w:p>
    <w:p w:rsidR="00FC7B83" w:rsidRDefault="00CC424F" w:rsidP="00E4029C">
      <w:r>
        <w:t xml:space="preserve">Everyday activities utilising the notion of inquiry are suggested as possible means for fostering the students’ developing </w:t>
      </w:r>
      <w:r w:rsidR="008A3D36">
        <w:t xml:space="preserve">these aspects of </w:t>
      </w:r>
      <w:r>
        <w:t>internal need for proof</w:t>
      </w:r>
      <w:r w:rsidR="002D1D32">
        <w:t xml:space="preserve"> (</w:t>
      </w:r>
      <w:proofErr w:type="spellStart"/>
      <w:r w:rsidR="002D1D32" w:rsidRPr="00E4029C">
        <w:t>Zaslavsky</w:t>
      </w:r>
      <w:proofErr w:type="spellEnd"/>
      <w:r w:rsidR="002D1D32">
        <w:t xml:space="preserve"> et al</w:t>
      </w:r>
      <w:r w:rsidR="002D1D32" w:rsidRPr="00E4029C">
        <w:t>, 2012</w:t>
      </w:r>
      <w:r w:rsidR="002D1D32">
        <w:t>)</w:t>
      </w:r>
      <w:r>
        <w:t>.</w:t>
      </w:r>
      <w:r w:rsidR="008A3D36">
        <w:t xml:space="preserve"> Though existing didactical frameworks may b</w:t>
      </w:r>
      <w:r w:rsidR="00ED4D1B">
        <w:t>e employed to help the students</w:t>
      </w:r>
      <w:r w:rsidR="008A3D36">
        <w:t xml:space="preserve"> </w:t>
      </w:r>
      <w:r w:rsidR="00ED4D1B">
        <w:t xml:space="preserve">to </w:t>
      </w:r>
      <w:r w:rsidR="008A3D36">
        <w:t>develop internal need for proof</w:t>
      </w:r>
      <w:r w:rsidR="002D1D32">
        <w:t xml:space="preserve"> (notable the realistic mathematics education tradition)</w:t>
      </w:r>
      <w:r w:rsidR="008A3D36">
        <w:t xml:space="preserve">, we argue that a </w:t>
      </w:r>
      <w:proofErr w:type="spellStart"/>
      <w:r w:rsidR="00DD1984">
        <w:t>Husserlian</w:t>
      </w:r>
      <w:proofErr w:type="spellEnd"/>
      <w:r w:rsidR="00DD1984">
        <w:t xml:space="preserve"> re-visit of a multi-faceted reading of </w:t>
      </w:r>
      <w:r w:rsidR="008A3D36">
        <w:t xml:space="preserve">the </w:t>
      </w:r>
      <w:r w:rsidR="00DD1984">
        <w:t xml:space="preserve">historical </w:t>
      </w:r>
      <w:r w:rsidR="008A3D36">
        <w:t>genesis of proof in ancient Greece may provide the epistemological backbone of a didactical framework that would foster the students’ developing all aspects of internal nee</w:t>
      </w:r>
      <w:r w:rsidR="00E660A0">
        <w:t xml:space="preserve">d for proof, notably </w:t>
      </w:r>
      <w:r w:rsidR="0016540B">
        <w:t>‘</w:t>
      </w:r>
      <w:r w:rsidR="00E660A0">
        <w:t>structure</w:t>
      </w:r>
      <w:r w:rsidR="0016540B">
        <w:t>’</w:t>
      </w:r>
      <w:r w:rsidR="00FC7B83">
        <w:t>.</w:t>
      </w:r>
    </w:p>
    <w:p w:rsidR="00FC7B83" w:rsidRDefault="00924550" w:rsidP="00E4029C">
      <w:r>
        <w:t>T</w:t>
      </w:r>
      <w:r w:rsidR="00292DFF">
        <w:t>he realistic mathematics education research</w:t>
      </w:r>
      <w:r w:rsidR="00232004">
        <w:t xml:space="preserve"> paradigm (</w:t>
      </w:r>
      <w:proofErr w:type="spellStart"/>
      <w:r w:rsidR="00232004">
        <w:t>Streefland</w:t>
      </w:r>
      <w:proofErr w:type="spellEnd"/>
      <w:r w:rsidR="00232004">
        <w:t>, 1991</w:t>
      </w:r>
      <w:r w:rsidR="00292DFF">
        <w:t>) appears to be a suitable framework</w:t>
      </w:r>
      <w:r w:rsidR="00DD1984">
        <w:t xml:space="preserve"> that would facilitate the students’ developing internal needs for proof, At the crux of this paradigm lies that the idea that mathematics are constructed within</w:t>
      </w:r>
      <w:r>
        <w:t xml:space="preserve"> a</w:t>
      </w:r>
      <w:r w:rsidR="00244CA7">
        <w:t xml:space="preserve"> problematic situation that </w:t>
      </w:r>
      <w:r w:rsidR="00292DFF">
        <w:t xml:space="preserve">is </w:t>
      </w:r>
      <w:r w:rsidR="00244CA7">
        <w:t xml:space="preserve">perceived as </w:t>
      </w:r>
      <w:r w:rsidR="00292DFF">
        <w:t>‘real’</w:t>
      </w:r>
      <w:r w:rsidR="00244CA7">
        <w:t xml:space="preserve"> for the students is actively re-organised by the students with the teachers’ guid</w:t>
      </w:r>
      <w:r>
        <w:t>ance</w:t>
      </w:r>
      <w:r w:rsidR="00244CA7">
        <w:t xml:space="preserve">. The re-organisation of the situation results in the </w:t>
      </w:r>
      <w:r w:rsidR="002D1D32">
        <w:t xml:space="preserve">students’ </w:t>
      </w:r>
      <w:r>
        <w:t>‘</w:t>
      </w:r>
      <w:r w:rsidR="00244CA7">
        <w:t>re-invention</w:t>
      </w:r>
      <w:r>
        <w:t>’</w:t>
      </w:r>
      <w:r w:rsidR="00244CA7">
        <w:t xml:space="preserve"> of the required mathematical tools that, constructed as a response to a ‘real’ </w:t>
      </w:r>
      <w:r w:rsidR="002D1D32">
        <w:t xml:space="preserve">to the students </w:t>
      </w:r>
      <w:r w:rsidR="00244CA7">
        <w:t xml:space="preserve">need, are </w:t>
      </w:r>
      <w:r w:rsidR="00F21E72">
        <w:t xml:space="preserve">‘naturally’ </w:t>
      </w:r>
      <w:r w:rsidR="00244CA7">
        <w:t xml:space="preserve">meaningful for the students. </w:t>
      </w:r>
      <w:r w:rsidR="00244CA7" w:rsidRPr="00244CA7">
        <w:t>Th</w:t>
      </w:r>
      <w:r w:rsidR="00BC658D">
        <w:t>e</w:t>
      </w:r>
      <w:r w:rsidR="00244CA7" w:rsidRPr="00244CA7">
        <w:t xml:space="preserve"> process of </w:t>
      </w:r>
      <w:proofErr w:type="spellStart"/>
      <w:r w:rsidR="00244CA7" w:rsidRPr="00AE59CA">
        <w:t>mathematisation</w:t>
      </w:r>
      <w:proofErr w:type="spellEnd"/>
      <w:r w:rsidR="00244CA7" w:rsidRPr="00244CA7">
        <w:t xml:space="preserve"> of the </w:t>
      </w:r>
      <w:r>
        <w:t>‘</w:t>
      </w:r>
      <w:r w:rsidR="00244CA7" w:rsidRPr="00244CA7">
        <w:t>real</w:t>
      </w:r>
      <w:r>
        <w:t>’</w:t>
      </w:r>
      <w:r w:rsidR="00244CA7" w:rsidRPr="00244CA7">
        <w:t xml:space="preserve"> situation </w:t>
      </w:r>
      <w:r w:rsidR="00AE59CA">
        <w:t>allows</w:t>
      </w:r>
      <w:r w:rsidR="00726229">
        <w:t xml:space="preserve"> </w:t>
      </w:r>
      <w:r w:rsidR="00AE59CA">
        <w:t xml:space="preserve">the incorporation of the constructed </w:t>
      </w:r>
      <w:r w:rsidR="00244CA7" w:rsidRPr="00244CA7">
        <w:t xml:space="preserve">mathematical ideas within the </w:t>
      </w:r>
      <w:r w:rsidR="00AE59CA">
        <w:t xml:space="preserve">existing </w:t>
      </w:r>
      <w:r w:rsidR="00244CA7" w:rsidRPr="00244CA7">
        <w:t xml:space="preserve">mathematical world, </w:t>
      </w:r>
      <w:r w:rsidR="00BC658D">
        <w:t xml:space="preserve">but </w:t>
      </w:r>
      <w:r w:rsidR="00244CA7" w:rsidRPr="00244CA7">
        <w:t xml:space="preserve">it does not </w:t>
      </w:r>
      <w:r w:rsidR="00AE59CA">
        <w:t xml:space="preserve">explicitly address </w:t>
      </w:r>
      <w:r w:rsidR="00BC658D">
        <w:t>‘</w:t>
      </w:r>
      <w:r w:rsidR="00AE59CA">
        <w:t>structure</w:t>
      </w:r>
      <w:r w:rsidR="00BC658D">
        <w:t>’</w:t>
      </w:r>
      <w:r w:rsidR="00AE59CA">
        <w:t xml:space="preserve">. The new mathematical constructs need to derive from existing mathematical knowledge, but </w:t>
      </w:r>
      <w:r>
        <w:t>this necessarily implies (at best) only a local mathematical structure</w:t>
      </w:r>
      <w:r w:rsidR="002D1D32">
        <w:t xml:space="preserve">, as a mathematical argument is built upon a set of considered </w:t>
      </w:r>
      <w:proofErr w:type="gramStart"/>
      <w:r w:rsidR="002D1D32">
        <w:t>to hold</w:t>
      </w:r>
      <w:proofErr w:type="gramEnd"/>
      <w:r w:rsidR="002D1D32">
        <w:t xml:space="preserve"> true ideas.</w:t>
      </w:r>
      <w:r>
        <w:t xml:space="preserve"> </w:t>
      </w:r>
      <w:r w:rsidR="002D1D32">
        <w:t xml:space="preserve">Following this process, the successful construction of an argument does not include a </w:t>
      </w:r>
      <w:r>
        <w:t>‘</w:t>
      </w:r>
      <w:r w:rsidR="00AE59CA">
        <w:t>real</w:t>
      </w:r>
      <w:r>
        <w:t>’</w:t>
      </w:r>
      <w:r w:rsidR="00AE59CA">
        <w:t xml:space="preserve"> need for </w:t>
      </w:r>
      <w:r>
        <w:t xml:space="preserve">attempting to re-organise the re-invented mathematical tools within a global mathematical structure (such as an axiomatic system). </w:t>
      </w:r>
      <w:r w:rsidR="00FC7B83">
        <w:t>We argue that a</w:t>
      </w:r>
      <w:r w:rsidR="00AE59CA">
        <w:t xml:space="preserve">dditional requirements have to be activated for a student to develop the internal need for the logical re-organisation of the </w:t>
      </w:r>
      <w:r>
        <w:t>re-invented</w:t>
      </w:r>
      <w:r w:rsidR="00AE59CA">
        <w:t xml:space="preserve"> mathematical tools.</w:t>
      </w:r>
    </w:p>
    <w:p w:rsidR="002F00BB" w:rsidRDefault="00AE59CA" w:rsidP="00A47B07">
      <w:r>
        <w:t xml:space="preserve">From a different perspective, </w:t>
      </w:r>
      <w:r w:rsidRPr="00AE59CA">
        <w:t xml:space="preserve">Radford (2003) </w:t>
      </w:r>
      <w:r w:rsidR="00726229">
        <w:t xml:space="preserve">emphasised the sociocultural aspects of mathematical </w:t>
      </w:r>
      <w:r w:rsidR="00726229" w:rsidRPr="00F070EE">
        <w:t>thinking, suggesting</w:t>
      </w:r>
      <w:r w:rsidRPr="00F070EE">
        <w:t xml:space="preserve"> a semiotic-cultural approach </w:t>
      </w:r>
      <w:r w:rsidR="00726229" w:rsidRPr="00F070EE">
        <w:t xml:space="preserve">to highlight </w:t>
      </w:r>
      <w:r w:rsidRPr="00F070EE">
        <w:t xml:space="preserve">the </w:t>
      </w:r>
      <w:r w:rsidRPr="00F070EE">
        <w:lastRenderedPageBreak/>
        <w:t xml:space="preserve">subjective nature of the </w:t>
      </w:r>
      <w:r w:rsidR="00726229" w:rsidRPr="00F070EE">
        <w:t xml:space="preserve">meaning </w:t>
      </w:r>
      <w:r w:rsidRPr="00F070EE">
        <w:t>constructed through semiotic activities</w:t>
      </w:r>
      <w:r w:rsidR="00DB3C8D" w:rsidRPr="00F070EE">
        <w:t>.</w:t>
      </w:r>
      <w:r w:rsidR="00726229" w:rsidRPr="00F070EE">
        <w:t xml:space="preserve"> Meaning is constructed by subjects within specific sociocultural context and, thus, proof is meaningful for a student who experiences a specific sociocultural reality. </w:t>
      </w:r>
      <w:r w:rsidR="00402250" w:rsidRPr="00F070EE">
        <w:t>Though w</w:t>
      </w:r>
      <w:r w:rsidR="00726229" w:rsidRPr="00F070EE">
        <w:t xml:space="preserve">e acknowledge the </w:t>
      </w:r>
      <w:r w:rsidR="00402250" w:rsidRPr="00F070EE">
        <w:t>importance</w:t>
      </w:r>
      <w:r w:rsidR="00726229" w:rsidRPr="00F070EE">
        <w:t xml:space="preserve"> of the socio</w:t>
      </w:r>
      <w:r w:rsidR="00402250" w:rsidRPr="00F070EE">
        <w:t>-semiotic</w:t>
      </w:r>
      <w:r w:rsidR="00726229" w:rsidRPr="00F070EE">
        <w:t xml:space="preserve"> </w:t>
      </w:r>
      <w:r w:rsidR="00402250" w:rsidRPr="00F070EE">
        <w:t>dimension, Radford</w:t>
      </w:r>
      <w:r w:rsidR="00ED084C">
        <w:t>’s research</w:t>
      </w:r>
      <w:r w:rsidR="00402250" w:rsidRPr="00F070EE">
        <w:t xml:space="preserve"> </w:t>
      </w:r>
      <w:r w:rsidR="00ED084C">
        <w:t xml:space="preserve">was </w:t>
      </w:r>
      <w:r w:rsidR="00402250" w:rsidRPr="00F070EE">
        <w:t xml:space="preserve">not </w:t>
      </w:r>
      <w:r w:rsidR="00ED084C">
        <w:t xml:space="preserve">focused on </w:t>
      </w:r>
      <w:r w:rsidR="00402250" w:rsidRPr="00F070EE">
        <w:t xml:space="preserve">the students’ </w:t>
      </w:r>
      <w:r w:rsidR="00ED084C">
        <w:t xml:space="preserve">development of an </w:t>
      </w:r>
      <w:r w:rsidR="00402250" w:rsidRPr="00F070EE">
        <w:t>internal need for proof.</w:t>
      </w:r>
      <w:r w:rsidR="00FC7B83">
        <w:t xml:space="preserve"> </w:t>
      </w:r>
      <w:r w:rsidR="00C70FA8">
        <w:t xml:space="preserve">Moreover, </w:t>
      </w:r>
      <w:proofErr w:type="spellStart"/>
      <w:r w:rsidR="00A47B07" w:rsidRPr="00C70FA8">
        <w:t>Siu</w:t>
      </w:r>
      <w:proofErr w:type="spellEnd"/>
      <w:r w:rsidR="00A47B07" w:rsidRPr="00C70FA8">
        <w:t xml:space="preserve"> (2008) </w:t>
      </w:r>
      <w:r w:rsidR="00C70FA8" w:rsidRPr="00C70FA8">
        <w:t xml:space="preserve">discussed proof in China </w:t>
      </w:r>
      <w:r w:rsidR="00C70FA8">
        <w:t>emphasising</w:t>
      </w:r>
      <w:r w:rsidR="00A47B07" w:rsidRPr="00C70FA8">
        <w:t xml:space="preserve"> that mathematical proof occurs in a cultural, socio-pol</w:t>
      </w:r>
      <w:r w:rsidR="00C70FA8">
        <w:t xml:space="preserve">itical and intellectual context. Consequently, </w:t>
      </w:r>
      <w:r w:rsidR="00FC7B83" w:rsidRPr="00C70FA8">
        <w:t xml:space="preserve">it is </w:t>
      </w:r>
      <w:r w:rsidR="00C70FA8">
        <w:t xml:space="preserve">posited </w:t>
      </w:r>
      <w:r w:rsidR="00FC7B83" w:rsidRPr="00C70FA8">
        <w:t>that a soc</w:t>
      </w:r>
      <w:r w:rsidR="00FC7B83">
        <w:t xml:space="preserve">io-cultural investigation in the students’ semiotic meaning constructions may </w:t>
      </w:r>
      <w:r w:rsidR="00FC7B83" w:rsidRPr="00D71075">
        <w:t xml:space="preserve">help in </w:t>
      </w:r>
      <w:r w:rsidR="006743A7" w:rsidRPr="00D71075">
        <w:t>by revealing aspects of the socio-</w:t>
      </w:r>
      <w:r w:rsidR="0061742A" w:rsidRPr="00D71075">
        <w:t>cultural</w:t>
      </w:r>
      <w:r w:rsidR="006743A7" w:rsidRPr="00D71075">
        <w:t xml:space="preserve"> </w:t>
      </w:r>
      <w:r w:rsidR="006743A7" w:rsidRPr="00D71075">
        <w:rPr>
          <w:i/>
        </w:rPr>
        <w:t>tradition</w:t>
      </w:r>
      <w:r w:rsidR="006743A7" w:rsidRPr="00D71075">
        <w:t xml:space="preserve"> </w:t>
      </w:r>
      <w:r w:rsidR="0061742A" w:rsidRPr="00D71075">
        <w:t>(</w:t>
      </w:r>
      <w:proofErr w:type="spellStart"/>
      <w:r w:rsidR="0061742A" w:rsidRPr="00D71075">
        <w:t>cf</w:t>
      </w:r>
      <w:proofErr w:type="spellEnd"/>
      <w:r w:rsidR="0061742A" w:rsidRPr="00D71075">
        <w:t xml:space="preserve"> Arendt, 1961) within which the</w:t>
      </w:r>
      <w:r w:rsidR="00AF07FA" w:rsidRPr="00D71075">
        <w:t xml:space="preserve"> internal</w:t>
      </w:r>
      <w:r w:rsidR="0061742A" w:rsidRPr="00D71075">
        <w:t xml:space="preserve"> need for proof </w:t>
      </w:r>
      <w:r w:rsidR="00AF07FA" w:rsidRPr="00D71075">
        <w:t xml:space="preserve">(including ‘structure’) </w:t>
      </w:r>
      <w:r w:rsidR="0061742A" w:rsidRPr="00D71075">
        <w:t>ar</w:t>
      </w:r>
      <w:r w:rsidR="009C31F1" w:rsidRPr="00D71075">
        <w:t>ose</w:t>
      </w:r>
      <w:r w:rsidR="0061742A" w:rsidRPr="00D71075">
        <w:t xml:space="preserve"> as a necessity</w:t>
      </w:r>
      <w:r w:rsidR="00FC7B83" w:rsidRPr="00D71075">
        <w:t>.</w:t>
      </w:r>
    </w:p>
    <w:p w:rsidR="00C70FA8" w:rsidRPr="00310BF6" w:rsidRDefault="00104F73" w:rsidP="00CB65F8">
      <w:pPr>
        <w:rPr>
          <w:lang w:val="en-US"/>
        </w:rPr>
      </w:pPr>
      <w:r>
        <w:t xml:space="preserve">Furthermore, historically axiomatic proof has been linked with the proofs included in Euclid’s </w:t>
      </w:r>
      <w:r w:rsidR="00996EC5">
        <w:t xml:space="preserve">axiomatic-type seminal work </w:t>
      </w:r>
      <w:r w:rsidRPr="008B4A43">
        <w:rPr>
          <w:i/>
        </w:rPr>
        <w:t>Elements</w:t>
      </w:r>
      <w:r w:rsidR="008B4A43">
        <w:t xml:space="preserve"> (</w:t>
      </w:r>
      <w:proofErr w:type="spellStart"/>
      <w:r w:rsidR="008B4A43" w:rsidRPr="008B4A43">
        <w:rPr>
          <w:i/>
        </w:rPr>
        <w:t>Stoicheia</w:t>
      </w:r>
      <w:proofErr w:type="spellEnd"/>
      <w:r w:rsidR="008B4A43">
        <w:t>)</w:t>
      </w:r>
      <w:r>
        <w:t xml:space="preserve">. </w:t>
      </w:r>
      <w:r w:rsidR="000925C0">
        <w:t xml:space="preserve">Euclid’s axiomatic-type construction is structured according </w:t>
      </w:r>
      <w:r w:rsidR="007C1CEE">
        <w:t>to the</w:t>
      </w:r>
      <w:r w:rsidR="000925C0">
        <w:t xml:space="preserve"> implied </w:t>
      </w:r>
      <w:r w:rsidR="007C1CEE">
        <w:t xml:space="preserve">possibility of the </w:t>
      </w:r>
      <w:r w:rsidR="000925C0">
        <w:t xml:space="preserve">regression </w:t>
      </w:r>
      <w:r w:rsidR="007C1CEE">
        <w:t xml:space="preserve">of each of the included proofs </w:t>
      </w:r>
      <w:r w:rsidR="000925C0">
        <w:t xml:space="preserve">to a finite set of genetic </w:t>
      </w:r>
      <w:r w:rsidR="007C1CEE">
        <w:t xml:space="preserve">common </w:t>
      </w:r>
      <w:r w:rsidR="000925C0">
        <w:t>principles and truths</w:t>
      </w:r>
      <w:r w:rsidR="001B74CB">
        <w:t>.</w:t>
      </w:r>
      <w:r w:rsidR="0061733D">
        <w:t xml:space="preserve"> </w:t>
      </w:r>
      <w:r w:rsidR="001B74CB" w:rsidRPr="001B74CB">
        <w:t xml:space="preserve">Ayer (1971) </w:t>
      </w:r>
      <w:r w:rsidR="0061733D">
        <w:t xml:space="preserve">claimed </w:t>
      </w:r>
      <w:r w:rsidR="001B74CB" w:rsidRPr="001B74CB">
        <w:t>that a “being whose intellect was infinitely powerful would take no interest in logic and mathematics,” as (s</w:t>
      </w:r>
      <w:proofErr w:type="gramStart"/>
      <w:r w:rsidR="001B74CB" w:rsidRPr="001B74CB">
        <w:t>)he</w:t>
      </w:r>
      <w:proofErr w:type="gramEnd"/>
      <w:r w:rsidR="001B74CB" w:rsidRPr="001B74CB">
        <w:t xml:space="preserve"> “would be able to see at a glance everything that his [sic] definitions implied” (p. 82)</w:t>
      </w:r>
      <w:r w:rsidR="001B74CB">
        <w:t>.</w:t>
      </w:r>
      <w:r w:rsidR="0061733D">
        <w:t xml:space="preserve"> </w:t>
      </w:r>
      <w:r w:rsidR="000925C0">
        <w:t>Beth and Piaget (</w:t>
      </w:r>
      <w:r w:rsidR="003118C5">
        <w:t>1966</w:t>
      </w:r>
      <w:r w:rsidR="000925C0">
        <w:t xml:space="preserve">) distinguish between the psychological and mathematical regressive processes stressing the </w:t>
      </w:r>
      <w:r w:rsidR="00441FDA">
        <w:t xml:space="preserve">importance of investigating </w:t>
      </w:r>
      <w:r w:rsidR="000925C0">
        <w:t>“whether axiomatic regression exhibits any relationship to the reversed genetic order” (p. 249).</w:t>
      </w:r>
      <w:r w:rsidR="00CB65F8">
        <w:t xml:space="preserve"> They note that the ordered structures, including language and mathematics, are linked with the fact that “human behaviour enters in at all stages, and because it depends in its turn on biological organisations which a</w:t>
      </w:r>
      <w:r w:rsidR="00C70FA8">
        <w:t xml:space="preserve">re yet more primitive (p. 300). Following a </w:t>
      </w:r>
      <w:proofErr w:type="spellStart"/>
      <w:r w:rsidR="00C70FA8">
        <w:t>Husserlian</w:t>
      </w:r>
      <w:proofErr w:type="spellEnd"/>
      <w:r w:rsidR="00C70FA8">
        <w:t xml:space="preserve"> perspective, </w:t>
      </w:r>
      <w:proofErr w:type="spellStart"/>
      <w:r w:rsidR="00C70FA8">
        <w:t>Moutsios-Ren</w:t>
      </w:r>
      <w:r w:rsidR="00441FDA">
        <w:t>tzos</w:t>
      </w:r>
      <w:proofErr w:type="spellEnd"/>
      <w:r w:rsidR="00441FDA">
        <w:t xml:space="preserve">, </w:t>
      </w:r>
      <w:proofErr w:type="spellStart"/>
      <w:r w:rsidR="00441FDA">
        <w:t>Spyrou</w:t>
      </w:r>
      <w:proofErr w:type="spellEnd"/>
      <w:r w:rsidR="00441FDA">
        <w:t xml:space="preserve"> and </w:t>
      </w:r>
      <w:proofErr w:type="spellStart"/>
      <w:r w:rsidR="00441FDA">
        <w:t>Peteinara</w:t>
      </w:r>
      <w:proofErr w:type="spellEnd"/>
      <w:r w:rsidR="00441FDA">
        <w:t xml:space="preserve"> (2014</w:t>
      </w:r>
      <w:r w:rsidR="00C70FA8">
        <w:t xml:space="preserve">) viewed </w:t>
      </w:r>
      <w:r w:rsidR="00C70FA8" w:rsidRPr="001B74CB">
        <w:t xml:space="preserve">the geometrical object </w:t>
      </w:r>
      <w:r w:rsidR="00C70FA8">
        <w:t>both as “</w:t>
      </w:r>
      <w:r w:rsidR="00C70FA8" w:rsidRPr="001B74CB">
        <w:t>a construction and an object of discovery</w:t>
      </w:r>
      <w:r w:rsidR="00C70FA8">
        <w:t xml:space="preserve"> […] </w:t>
      </w:r>
      <w:r w:rsidR="00C70FA8" w:rsidRPr="001B74CB">
        <w:t>as a transcendental description of space within an (axiomatic) structure</w:t>
      </w:r>
      <w:r w:rsidR="00C70FA8">
        <w:t>” (p. 31).</w:t>
      </w:r>
      <w:r w:rsidR="00441FDA">
        <w:t xml:space="preserve"> Moreover, it seems that the common principles and truths from which the mathematical results logically derive seem not to be </w:t>
      </w:r>
      <w:r w:rsidR="00441FDA" w:rsidRPr="00D71075">
        <w:t>arbitrarily chosen, but to be closely related to humans’ perceptual experience of the natural wo</w:t>
      </w:r>
      <w:r w:rsidR="001A7D1D" w:rsidRPr="00D71075">
        <w:t xml:space="preserve">rld; </w:t>
      </w:r>
      <w:r w:rsidR="00441FDA" w:rsidRPr="00D71075">
        <w:t xml:space="preserve">for example, </w:t>
      </w:r>
      <w:r w:rsidR="00AF07FA" w:rsidRPr="00D71075">
        <w:t xml:space="preserve">the bodily perception of the world </w:t>
      </w:r>
      <w:r w:rsidR="001A7D1D" w:rsidRPr="00D71075">
        <w:t xml:space="preserve">humans walk on </w:t>
      </w:r>
      <w:r w:rsidR="00441FDA" w:rsidRPr="00D71075">
        <w:t>a</w:t>
      </w:r>
      <w:r w:rsidR="0061742A" w:rsidRPr="00D71075">
        <w:t xml:space="preserve">s a </w:t>
      </w:r>
      <w:r w:rsidR="00AF07FA" w:rsidRPr="00D71075">
        <w:t xml:space="preserve">(flat) </w:t>
      </w:r>
      <w:r w:rsidR="0061742A" w:rsidRPr="00D71075">
        <w:t xml:space="preserve">plane rather than </w:t>
      </w:r>
      <w:r w:rsidR="00AF07FA" w:rsidRPr="00D71075">
        <w:t>as curved surface</w:t>
      </w:r>
      <w:r w:rsidR="00441FDA">
        <w:t>.</w:t>
      </w:r>
      <w:r w:rsidR="00310BF6">
        <w:t xml:space="preserve"> </w:t>
      </w:r>
    </w:p>
    <w:p w:rsidR="000925C0" w:rsidRDefault="005C175F" w:rsidP="00CB65F8">
      <w:r>
        <w:t>Such</w:t>
      </w:r>
      <w:r w:rsidR="00CB65F8">
        <w:t xml:space="preserve"> ideas are </w:t>
      </w:r>
      <w:r w:rsidR="00D032B7">
        <w:t xml:space="preserve">systematically </w:t>
      </w:r>
      <w:r w:rsidR="00CB65F8">
        <w:t xml:space="preserve">re-visited </w:t>
      </w:r>
      <w:r w:rsidR="00D032B7">
        <w:t xml:space="preserve">of </w:t>
      </w:r>
      <w:r w:rsidR="00C70FA8">
        <w:t>mathematics</w:t>
      </w:r>
      <w:r w:rsidR="00CB65F8">
        <w:t xml:space="preserve"> in the seminal work of </w:t>
      </w:r>
      <w:proofErr w:type="spellStart"/>
      <w:r w:rsidR="00CB65F8">
        <w:t>Lakoff</w:t>
      </w:r>
      <w:proofErr w:type="spellEnd"/>
      <w:r w:rsidR="00CB65F8">
        <w:t xml:space="preserve"> and </w:t>
      </w:r>
      <w:proofErr w:type="spellStart"/>
      <w:r w:rsidR="00CB65F8" w:rsidRPr="00CB65F8">
        <w:rPr>
          <w:bCs/>
          <w:iCs/>
        </w:rPr>
        <w:t>Núñez</w:t>
      </w:r>
      <w:proofErr w:type="spellEnd"/>
      <w:r w:rsidR="00CB65F8" w:rsidRPr="00CB65F8">
        <w:t xml:space="preserve"> </w:t>
      </w:r>
      <w:r w:rsidR="00CB65F8">
        <w:t xml:space="preserve">(2000) </w:t>
      </w:r>
      <w:r w:rsidR="00C70FA8">
        <w:t xml:space="preserve">from the perspective of the cognitive science </w:t>
      </w:r>
      <w:r w:rsidR="00D032B7">
        <w:t>according to</w:t>
      </w:r>
      <w:r w:rsidR="00CB65F8">
        <w:t xml:space="preserve"> which they investigate the role of the human body in the formation of </w:t>
      </w:r>
      <w:r w:rsidR="00D032B7">
        <w:t xml:space="preserve">linguistic </w:t>
      </w:r>
      <w:r w:rsidR="00CB65F8">
        <w:t xml:space="preserve">metaphors that are at the crux of the humans’ construction of simple </w:t>
      </w:r>
      <w:r w:rsidR="00C70FA8">
        <w:t xml:space="preserve">and complex mathematical ideas. </w:t>
      </w:r>
      <w:proofErr w:type="spellStart"/>
      <w:r w:rsidR="0061733D" w:rsidRPr="001B74CB">
        <w:t>Lappas</w:t>
      </w:r>
      <w:proofErr w:type="spellEnd"/>
      <w:r w:rsidR="0061733D">
        <w:t xml:space="preserve"> and </w:t>
      </w:r>
      <w:proofErr w:type="spellStart"/>
      <w:r w:rsidR="0061733D" w:rsidRPr="001B74CB">
        <w:t>Spyrou</w:t>
      </w:r>
      <w:proofErr w:type="spellEnd"/>
      <w:r w:rsidR="0061733D" w:rsidRPr="001B74CB">
        <w:t xml:space="preserve"> (2006)</w:t>
      </w:r>
      <w:r w:rsidR="0061733D">
        <w:t xml:space="preserve"> discussed the ways that the embodied, perceptual experience of the world may have evolved to f</w:t>
      </w:r>
      <w:r w:rsidR="0020338D">
        <w:t>or</w:t>
      </w:r>
      <w:r w:rsidR="0061733D">
        <w:t xml:space="preserve">m </w:t>
      </w:r>
      <w:r w:rsidR="0020338D">
        <w:t xml:space="preserve">logical </w:t>
      </w:r>
      <w:r w:rsidR="0061733D">
        <w:t xml:space="preserve">categories </w:t>
      </w:r>
      <w:r w:rsidR="0020338D">
        <w:t>of abstract mathematical ideas</w:t>
      </w:r>
      <w:r w:rsidR="00530B1E">
        <w:t xml:space="preserve"> within an axiomatic type structure that transforms the archetypal results to logically derived deductive knowledge</w:t>
      </w:r>
      <w:r w:rsidR="00C70FA8">
        <w:t xml:space="preserve">. </w:t>
      </w:r>
      <w:r w:rsidR="00530B1E">
        <w:t>Moreover, w</w:t>
      </w:r>
      <w:r>
        <w:t xml:space="preserve">ithin a broadly Marxist framework, </w:t>
      </w:r>
      <w:proofErr w:type="spellStart"/>
      <w:r>
        <w:t>Tr</w:t>
      </w:r>
      <w:r>
        <w:rPr>
          <w:rFonts w:ascii="Sylfaen" w:hAnsi="Sylfaen"/>
        </w:rPr>
        <w:t>â</w:t>
      </w:r>
      <w:r>
        <w:t>n</w:t>
      </w:r>
      <w:proofErr w:type="spellEnd"/>
      <w:r>
        <w:t xml:space="preserve"> </w:t>
      </w:r>
      <w:proofErr w:type="spellStart"/>
      <w:r>
        <w:t>Duc</w:t>
      </w:r>
      <w:proofErr w:type="spellEnd"/>
      <w:r>
        <w:t xml:space="preserve"> </w:t>
      </w:r>
      <w:proofErr w:type="spellStart"/>
      <w:r>
        <w:t>Thao</w:t>
      </w:r>
      <w:proofErr w:type="spellEnd"/>
      <w:r>
        <w:t xml:space="preserve"> (</w:t>
      </w:r>
      <w:r w:rsidR="003118C5">
        <w:t xml:space="preserve">1984) investigated the origins of consciousness and language as the humans (societies and individuals) progress from indicative gestures and signs to genuine activities through various forms of praxis that allow the </w:t>
      </w:r>
      <w:r w:rsidR="003118C5">
        <w:lastRenderedPageBreak/>
        <w:t>transformation of an instrument to a tool (implying “the shaping of the whole of the raw material according to a typical form”, p. 141)</w:t>
      </w:r>
      <w:r w:rsidR="0082225B">
        <w:t xml:space="preserve">, thus moving from </w:t>
      </w:r>
      <w:r w:rsidR="0082225B" w:rsidRPr="0082225B">
        <w:rPr>
          <w:i/>
        </w:rPr>
        <w:t xml:space="preserve">Homo </w:t>
      </w:r>
      <w:proofErr w:type="spellStart"/>
      <w:r w:rsidR="0082225B" w:rsidRPr="0082225B">
        <w:rPr>
          <w:i/>
        </w:rPr>
        <w:t>habilis</w:t>
      </w:r>
      <w:proofErr w:type="spellEnd"/>
      <w:r w:rsidR="0082225B">
        <w:t xml:space="preserve"> to the birth of </w:t>
      </w:r>
      <w:r w:rsidR="0082225B" w:rsidRPr="0082225B">
        <w:rPr>
          <w:i/>
        </w:rPr>
        <w:t xml:space="preserve">Homo </w:t>
      </w:r>
      <w:proofErr w:type="spellStart"/>
      <w:r w:rsidR="0082225B" w:rsidRPr="0082225B">
        <w:rPr>
          <w:i/>
        </w:rPr>
        <w:t>faber</w:t>
      </w:r>
      <w:proofErr w:type="spellEnd"/>
      <w:r w:rsidR="003118C5">
        <w:t>. Consequently</w:t>
      </w:r>
      <w:r w:rsidR="00CB65F8">
        <w:t xml:space="preserve">, the role of the somatic experience of the world, </w:t>
      </w:r>
      <w:r w:rsidR="00D006BE">
        <w:t xml:space="preserve">intertwined with </w:t>
      </w:r>
      <w:r w:rsidR="00CB65F8">
        <w:t>the socio-cultural context and language, seems to be crucial factors in fostering the students’ need for structure.</w:t>
      </w:r>
    </w:p>
    <w:p w:rsidR="00A771A4" w:rsidRDefault="007737E4" w:rsidP="00E4029C">
      <w:proofErr w:type="gramStart"/>
      <w:r>
        <w:t xml:space="preserve">Nevertheless, </w:t>
      </w:r>
      <w:proofErr w:type="spellStart"/>
      <w:r>
        <w:t>Godelier</w:t>
      </w:r>
      <w:proofErr w:type="spellEnd"/>
      <w:r>
        <w:t xml:space="preserve"> (1977) stresses that nature provides the “possibility and conditions of thinking”, but the human nature is more than “the body, thought, consciousness and unconsciousness” and that “History must be added”, since as history transforms the “man’s relations with Nature and man’s relation with man” (p. 215).</w:t>
      </w:r>
      <w:proofErr w:type="gramEnd"/>
      <w:r>
        <w:t xml:space="preserve">  </w:t>
      </w:r>
    </w:p>
    <w:p w:rsidR="002F00BB" w:rsidRDefault="00D006BE" w:rsidP="00E4029C">
      <w:pPr>
        <w:rPr>
          <w:i/>
        </w:rPr>
      </w:pPr>
      <w:r>
        <w:t>Consequently, i</w:t>
      </w:r>
      <w:r w:rsidR="00FC7B83" w:rsidRPr="00FC7B83">
        <w:t xml:space="preserve">n this theoretical essay, we consider historical, </w:t>
      </w:r>
      <w:r w:rsidR="001D6EB9">
        <w:t xml:space="preserve">epistemological, socio-cultural </w:t>
      </w:r>
      <w:r w:rsidR="00FC7B83" w:rsidRPr="00FC7B83">
        <w:t>and empirical evidence</w:t>
      </w:r>
      <w:r w:rsidR="001D6EB9">
        <w:t xml:space="preserve"> </w:t>
      </w:r>
      <w:r w:rsidR="00FC7B83" w:rsidRPr="00FC7B83">
        <w:t>to investigate the contribu</w:t>
      </w:r>
      <w:r>
        <w:t xml:space="preserve">tion of </w:t>
      </w:r>
      <w:proofErr w:type="spellStart"/>
      <w:r>
        <w:t>Husserlian</w:t>
      </w:r>
      <w:proofErr w:type="spellEnd"/>
      <w:r>
        <w:t xml:space="preserve"> ideas in the</w:t>
      </w:r>
      <w:r w:rsidR="00FC7B83" w:rsidRPr="00FC7B83">
        <w:t xml:space="preserve"> discussion</w:t>
      </w:r>
      <w:r>
        <w:t xml:space="preserve"> of a suitable didactical framework that would foster the students’ fully-fledged need for proof</w:t>
      </w:r>
      <w:r w:rsidR="00FC7B83" w:rsidRPr="00FC7B83">
        <w:t xml:space="preserve">. We argue that Husserl’s transcendental phenomenology (Husserl, 2001) may </w:t>
      </w:r>
      <w:r w:rsidR="00D032B7">
        <w:t xml:space="preserve">act as </w:t>
      </w:r>
      <w:r w:rsidR="00D032B7" w:rsidRPr="00D032B7">
        <w:t xml:space="preserve">a </w:t>
      </w:r>
      <w:r w:rsidR="00D032B7" w:rsidRPr="00D032B7">
        <w:rPr>
          <w:i/>
        </w:rPr>
        <w:t>meaningful attractor</w:t>
      </w:r>
      <w:r w:rsidR="00D032B7">
        <w:t xml:space="preserve"> (</w:t>
      </w:r>
      <w:proofErr w:type="spellStart"/>
      <w:r w:rsidR="003C7AC1">
        <w:t>Moutsios-Rentzos</w:t>
      </w:r>
      <w:proofErr w:type="spellEnd"/>
      <w:r w:rsidR="003C7AC1">
        <w:t>, in press-b</w:t>
      </w:r>
      <w:r w:rsidR="00D032B7">
        <w:t xml:space="preserve">) of </w:t>
      </w:r>
      <w:r w:rsidR="003C7AC1">
        <w:t xml:space="preserve">such </w:t>
      </w:r>
      <w:r w:rsidR="00D032B7">
        <w:t>complex</w:t>
      </w:r>
      <w:r w:rsidR="00431C23">
        <w:t>, divers</w:t>
      </w:r>
      <w:r>
        <w:t xml:space="preserve">e </w:t>
      </w:r>
      <w:r w:rsidR="00431C23">
        <w:t>and</w:t>
      </w:r>
      <w:r>
        <w:t xml:space="preserve"> </w:t>
      </w:r>
      <w:r w:rsidR="00431C23">
        <w:t xml:space="preserve">seemingly </w:t>
      </w:r>
      <w:r>
        <w:t>diverging</w:t>
      </w:r>
      <w:r w:rsidR="00D032B7">
        <w:t xml:space="preserve"> ideas and perspectives</w:t>
      </w:r>
      <w:r w:rsidR="003C7AC1">
        <w:t>, thus contributing</w:t>
      </w:r>
      <w:r w:rsidR="00FC7B83" w:rsidRPr="00FC7B83">
        <w:t xml:space="preserve"> in an interpretative framework for gaining deeper understanding about the factors that lead to the genesis of proof in geometry in ancient Greece</w:t>
      </w:r>
      <w:r w:rsidR="005F4A20">
        <w:t>. Though r</w:t>
      </w:r>
      <w:r w:rsidR="005F4A20" w:rsidRPr="005F4A20">
        <w:t xml:space="preserve">eading history reveals a network of possible necessities, rather than a linear assortment of events, which requires the unfolding of the </w:t>
      </w:r>
      <w:proofErr w:type="spellStart"/>
      <w:r w:rsidR="005F4A20" w:rsidRPr="005F4A20">
        <w:t>sedimented</w:t>
      </w:r>
      <w:proofErr w:type="spellEnd"/>
      <w:r w:rsidR="005F4A20" w:rsidRPr="005F4A20">
        <w:t xml:space="preserve"> historical layers within which the mathematical notions were objectified</w:t>
      </w:r>
      <w:r w:rsidR="005F4A20">
        <w:t xml:space="preserve">, it is argued that the </w:t>
      </w:r>
      <w:proofErr w:type="spellStart"/>
      <w:r w:rsidR="005F4A20">
        <w:t>Husserlian</w:t>
      </w:r>
      <w:proofErr w:type="spellEnd"/>
      <w:r w:rsidR="005F4A20">
        <w:t xml:space="preserve"> perspective</w:t>
      </w:r>
      <w:r w:rsidR="00FC7B83">
        <w:t xml:space="preserve"> may help in our</w:t>
      </w:r>
      <w:r w:rsidR="00FC7B83" w:rsidRPr="00FC7B83">
        <w:t xml:space="preserve"> understanding and </w:t>
      </w:r>
      <w:r w:rsidR="00431C23">
        <w:t xml:space="preserve">our </w:t>
      </w:r>
      <w:r w:rsidR="00FC7B83" w:rsidRPr="00FC7B83">
        <w:t xml:space="preserve">pedagogically fostering the students’ </w:t>
      </w:r>
      <w:r w:rsidR="003C7AC1">
        <w:t xml:space="preserve">fully fledged </w:t>
      </w:r>
      <w:r w:rsidR="00FC7B83" w:rsidRPr="00FC7B83">
        <w:t>intellectual need for proving in geometry</w:t>
      </w:r>
      <w:r w:rsidR="00FC7B83">
        <w:t xml:space="preserve">. </w:t>
      </w:r>
      <w:r w:rsidR="002F00BB">
        <w:t xml:space="preserve">Overall, in this essay we </w:t>
      </w:r>
      <w:r w:rsidR="0015050A">
        <w:t xml:space="preserve">address </w:t>
      </w:r>
      <w:r w:rsidR="002F00BB">
        <w:t xml:space="preserve">the fundamental question: </w:t>
      </w:r>
      <w:r w:rsidR="002F00BB" w:rsidRPr="002F00BB">
        <w:rPr>
          <w:i/>
        </w:rPr>
        <w:t xml:space="preserve">What </w:t>
      </w:r>
      <w:proofErr w:type="gramStart"/>
      <w:r w:rsidR="002F00BB" w:rsidRPr="002F00BB">
        <w:rPr>
          <w:i/>
        </w:rPr>
        <w:t>are the didactical principles constituting</w:t>
      </w:r>
      <w:proofErr w:type="gramEnd"/>
      <w:r w:rsidR="002F00BB" w:rsidRPr="002F00BB">
        <w:rPr>
          <w:i/>
        </w:rPr>
        <w:t xml:space="preserve"> an epistemologically coherent framework that may foster the students’ developing a fully-fledged need for proof?</w:t>
      </w:r>
    </w:p>
    <w:p w:rsidR="00F64A18" w:rsidRDefault="00F64A18" w:rsidP="00E4029C"/>
    <w:p w:rsidR="008A2BA9" w:rsidRDefault="008A2BA9" w:rsidP="00AF07FA">
      <w:pPr>
        <w:pStyle w:val="Heading2"/>
      </w:pPr>
      <w:r>
        <w:t>Elements of Husserl’s phenomenology</w:t>
      </w:r>
    </w:p>
    <w:p w:rsidR="008A2BA9" w:rsidRDefault="008A2BA9" w:rsidP="008A2BA9">
      <w:r>
        <w:t>Husserl’s phenomenology</w:t>
      </w:r>
      <w:r w:rsidRPr="00183C47">
        <w:t xml:space="preserve"> </w:t>
      </w:r>
      <w:r>
        <w:t xml:space="preserve">may be summarised in the phrase </w:t>
      </w:r>
      <w:r w:rsidRPr="00183C47">
        <w:t>“back to ‘the things themse</w:t>
      </w:r>
      <w:r>
        <w:t xml:space="preserve">lves’” (Husserl, 2001, p. 168), implying to search for to ‘unearth’ the </w:t>
      </w:r>
      <w:proofErr w:type="spellStart"/>
      <w:r>
        <w:t>sedimented</w:t>
      </w:r>
      <w:proofErr w:type="spellEnd"/>
      <w:r>
        <w:t xml:space="preserve"> relationships and the decisive factors in order to mobilise the mental processes that constitute an </w:t>
      </w:r>
      <w:proofErr w:type="spellStart"/>
      <w:r>
        <w:t>ideality</w:t>
      </w:r>
      <w:proofErr w:type="spellEnd"/>
      <w:r>
        <w:t xml:space="preserve">. </w:t>
      </w:r>
      <w:r w:rsidRPr="00183C47">
        <w:t xml:space="preserve">Husserl’s </w:t>
      </w:r>
      <w:proofErr w:type="spellStart"/>
      <w:r w:rsidRPr="00183C47">
        <w:t>idealities</w:t>
      </w:r>
      <w:proofErr w:type="spellEnd"/>
      <w:r w:rsidRPr="00183C47">
        <w:t xml:space="preserve"> </w:t>
      </w:r>
      <w:r>
        <w:t xml:space="preserve">crucially </w:t>
      </w:r>
      <w:r w:rsidRPr="00183C47">
        <w:t xml:space="preserve">differ from </w:t>
      </w:r>
      <w:r>
        <w:t xml:space="preserve">the </w:t>
      </w:r>
      <w:r w:rsidRPr="00183C47">
        <w:t xml:space="preserve">platonic ideas in that </w:t>
      </w:r>
      <w:r>
        <w:t xml:space="preserve">they are </w:t>
      </w:r>
      <w:r w:rsidRPr="00183C47">
        <w:t xml:space="preserve">intentionally subjectively </w:t>
      </w:r>
      <w:r w:rsidRPr="00D335E8">
        <w:rPr>
          <w:i/>
        </w:rPr>
        <w:t>constructed</w:t>
      </w:r>
      <w:r w:rsidRPr="00183C47">
        <w:t xml:space="preserve"> </w:t>
      </w:r>
      <w:r w:rsidRPr="00183C47">
        <w:rPr>
          <w:i/>
        </w:rPr>
        <w:t>once</w:t>
      </w:r>
      <w:r w:rsidRPr="00183C47">
        <w:t xml:space="preserve"> </w:t>
      </w:r>
      <w:r w:rsidRPr="00D335E8">
        <w:rPr>
          <w:i/>
        </w:rPr>
        <w:t>within</w:t>
      </w:r>
      <w:r w:rsidRPr="00183C47">
        <w:t xml:space="preserve"> </w:t>
      </w:r>
      <w:r w:rsidRPr="000249D8">
        <w:rPr>
          <w:i/>
        </w:rPr>
        <w:t>history</w:t>
      </w:r>
      <w:r w:rsidR="001B74CB">
        <w:t xml:space="preserve"> </w:t>
      </w:r>
      <w:r w:rsidR="001B74CB" w:rsidRPr="001B74CB">
        <w:t xml:space="preserve">and they “have a history, they must be related to, i.e., they must be primordially grounded in, the </w:t>
      </w:r>
      <w:proofErr w:type="spellStart"/>
      <w:r w:rsidR="001B74CB" w:rsidRPr="001B74CB">
        <w:t>protidealizations</w:t>
      </w:r>
      <w:proofErr w:type="spellEnd"/>
      <w:r w:rsidR="001B74CB" w:rsidRPr="001B74CB">
        <w:t xml:space="preserve"> based on the substrate of an actually perceived real world” (Derrida, 1989, p. 45).</w:t>
      </w:r>
      <w:r>
        <w:t xml:space="preserve"> Once objectified, they become </w:t>
      </w:r>
      <w:proofErr w:type="spellStart"/>
      <w:r w:rsidR="006C4A20" w:rsidRPr="006C4A20">
        <w:rPr>
          <w:i/>
        </w:rPr>
        <w:t>supratemporal</w:t>
      </w:r>
      <w:proofErr w:type="spellEnd"/>
      <w:r w:rsidR="006C4A20">
        <w:t xml:space="preserve"> (timeless or </w:t>
      </w:r>
      <w:proofErr w:type="spellStart"/>
      <w:r w:rsidR="006C4A20">
        <w:t>omnitemporal</w:t>
      </w:r>
      <w:proofErr w:type="spellEnd"/>
      <w:r w:rsidR="006C4A20">
        <w:t>; Derrida, 1989)</w:t>
      </w:r>
      <w:r>
        <w:t xml:space="preserve">, in the sense that every </w:t>
      </w:r>
      <w:r w:rsidRPr="00183C47">
        <w:t xml:space="preserve">subsequent </w:t>
      </w:r>
      <w:r>
        <w:t xml:space="preserve">subjective </w:t>
      </w:r>
      <w:r w:rsidRPr="00183C47">
        <w:t xml:space="preserve">knowing requires </w:t>
      </w:r>
      <w:r>
        <w:t xml:space="preserve">only </w:t>
      </w:r>
      <w:r w:rsidRPr="00183C47">
        <w:t xml:space="preserve">the </w:t>
      </w:r>
      <w:r w:rsidRPr="00C7020A">
        <w:rPr>
          <w:i/>
        </w:rPr>
        <w:t>reactivation</w:t>
      </w:r>
      <w:r w:rsidRPr="00183C47">
        <w:t xml:space="preserve"> of this </w:t>
      </w:r>
      <w:r>
        <w:t>objectification</w:t>
      </w:r>
      <w:r w:rsidRPr="00183C47">
        <w:t>.</w:t>
      </w:r>
      <w:r>
        <w:t xml:space="preserve"> Language (oral or</w:t>
      </w:r>
      <w:r w:rsidRPr="00183C47">
        <w:t xml:space="preserve"> written) constitut</w:t>
      </w:r>
      <w:r>
        <w:t>es</w:t>
      </w:r>
      <w:r w:rsidRPr="00183C47">
        <w:t xml:space="preserve"> the means for the </w:t>
      </w:r>
      <w:r w:rsidRPr="003D72B7">
        <w:t>objectification</w:t>
      </w:r>
      <w:r w:rsidRPr="00183C47">
        <w:t xml:space="preserve"> of the subjective experiences</w:t>
      </w:r>
      <w:r>
        <w:t>, allowing their subsequent transcendental existence.</w:t>
      </w:r>
    </w:p>
    <w:p w:rsidR="008A2BA9" w:rsidRDefault="008A2BA9" w:rsidP="008A2BA9">
      <w:r>
        <w:lastRenderedPageBreak/>
        <w:t xml:space="preserve">The reactivation of objectification requires the subject to develop suitable intentionality, suitable </w:t>
      </w:r>
      <w:r w:rsidRPr="00183C47">
        <w:t xml:space="preserve">“conscious relationship </w:t>
      </w:r>
      <w:r>
        <w:t xml:space="preserve">[…] </w:t>
      </w:r>
      <w:r w:rsidRPr="00183C47">
        <w:t>to an object”</w:t>
      </w:r>
      <w:r>
        <w:t xml:space="preserve">, </w:t>
      </w:r>
      <w:r w:rsidRPr="00183C47">
        <w:t>(</w:t>
      </w:r>
      <w:proofErr w:type="spellStart"/>
      <w:r w:rsidRPr="00183C47">
        <w:t>Sokolowski</w:t>
      </w:r>
      <w:proofErr w:type="spellEnd"/>
      <w:r w:rsidRPr="00183C47">
        <w:t>, 2000, p. 8).</w:t>
      </w:r>
      <w:r>
        <w:t xml:space="preserve"> Such intentionality requires the suspension of the subjects’ natural attitude, their </w:t>
      </w:r>
      <w:r w:rsidRPr="00183C47">
        <w:t>“straightforward involvement of things and the world”</w:t>
      </w:r>
      <w:r>
        <w:t xml:space="preserve"> (Audi, 1999, p. 405), crucially implying that the objectification is not merely a psychological process, as it explicitly incorporates the relationship between the subject and the community.</w:t>
      </w:r>
    </w:p>
    <w:p w:rsidR="008A2BA9" w:rsidRDefault="008A2BA9" w:rsidP="00901106">
      <w:r>
        <w:t>Moreover, Husserl contrasts t</w:t>
      </w:r>
      <w:r w:rsidRPr="00183C47">
        <w:t xml:space="preserve">he intersubjective experience of the communicated shared meaning with transcendental subjectivity in which there is an awareness of a phenomenon </w:t>
      </w:r>
      <w:r>
        <w:t xml:space="preserve">that transcends the </w:t>
      </w:r>
      <w:r w:rsidRPr="00183C47">
        <w:t>subjective perceptual experience.</w:t>
      </w:r>
      <w:r>
        <w:t xml:space="preserve"> Thus, for Husserl (1974) t</w:t>
      </w:r>
      <w:r w:rsidRPr="00183C47">
        <w:t xml:space="preserve">ranscendental subjectivity is “a possible communicative subjectivity [...] through possible intersubjective acts of consciousness, it encloses together into a possible </w:t>
      </w:r>
      <w:proofErr w:type="spellStart"/>
      <w:r w:rsidRPr="00183C47">
        <w:t>allness</w:t>
      </w:r>
      <w:proofErr w:type="spellEnd"/>
      <w:r w:rsidRPr="00183C47">
        <w:t xml:space="preserve"> a multiplicity of individual transcendental subjects” (p. 31).</w:t>
      </w:r>
      <w:r w:rsidR="00377A55">
        <w:t xml:space="preserve"> Moreover, Husserl </w:t>
      </w:r>
      <w:r w:rsidR="00210908">
        <w:t xml:space="preserve">conceptualised </w:t>
      </w:r>
      <w:r w:rsidR="00377A55">
        <w:t xml:space="preserve">transcendental </w:t>
      </w:r>
      <w:proofErr w:type="spellStart"/>
      <w:r w:rsidR="00377A55">
        <w:t>intersubjectivity</w:t>
      </w:r>
      <w:proofErr w:type="spellEnd"/>
      <w:r w:rsidR="00377A55">
        <w:t xml:space="preserve"> </w:t>
      </w:r>
      <w:r w:rsidR="00C07BD4">
        <w:t>a</w:t>
      </w:r>
      <w:r w:rsidR="00377A55">
        <w:t>s</w:t>
      </w:r>
      <w:r w:rsidR="00C07BD4">
        <w:t xml:space="preserve"> “the absolute and only self-sufficient ontological foundation [</w:t>
      </w:r>
      <w:proofErr w:type="spellStart"/>
      <w:r w:rsidR="00C07BD4">
        <w:t>Seinsboden</w:t>
      </w:r>
      <w:proofErr w:type="spellEnd"/>
      <w:r w:rsidR="00C07BD4">
        <w:t>], out of which everything objective (the totality of objectively real entities, but also every objective ideal world) draws its sense and its validity (</w:t>
      </w:r>
      <w:proofErr w:type="spellStart"/>
      <w:r w:rsidR="00C07BD4">
        <w:t>Zahavi</w:t>
      </w:r>
      <w:proofErr w:type="spellEnd"/>
      <w:r w:rsidR="00C07BD4">
        <w:t xml:space="preserve">, </w:t>
      </w:r>
      <w:proofErr w:type="spellStart"/>
      <w:r w:rsidR="00C07BD4">
        <w:t>2003a</w:t>
      </w:r>
      <w:proofErr w:type="spellEnd"/>
      <w:r w:rsidR="00C07BD4">
        <w:t>, p. 110-111)</w:t>
      </w:r>
      <w:r w:rsidR="00377A55">
        <w:t xml:space="preserve">, which at the same time </w:t>
      </w:r>
      <w:r w:rsidR="00C07BD4">
        <w:t>is “</w:t>
      </w:r>
      <w:r w:rsidR="00C07BD4" w:rsidRPr="00377A55">
        <w:t xml:space="preserve">a relation between subjects, </w:t>
      </w:r>
      <w:r w:rsidR="00C07BD4">
        <w:t>in which</w:t>
      </w:r>
      <w:r w:rsidR="00C07BD4" w:rsidRPr="00377A55">
        <w:t xml:space="preserve"> the ego itself participates</w:t>
      </w:r>
      <w:r w:rsidR="00C07BD4">
        <w:t xml:space="preserve">” </w:t>
      </w:r>
      <w:r w:rsidR="00C07BD4" w:rsidRPr="00901106">
        <w:t>(</w:t>
      </w:r>
      <w:proofErr w:type="spellStart"/>
      <w:r w:rsidR="00C07BD4" w:rsidRPr="00901106">
        <w:t>Zahavi</w:t>
      </w:r>
      <w:proofErr w:type="spellEnd"/>
      <w:r w:rsidR="00C07BD4" w:rsidRPr="00901106">
        <w:t xml:space="preserve">, </w:t>
      </w:r>
      <w:proofErr w:type="spellStart"/>
      <w:r w:rsidR="00C07BD4" w:rsidRPr="00901106">
        <w:t>2003</w:t>
      </w:r>
      <w:r w:rsidR="00C07BD4">
        <w:t>a</w:t>
      </w:r>
      <w:proofErr w:type="spellEnd"/>
      <w:r w:rsidR="00C07BD4" w:rsidRPr="00901106">
        <w:t>, p. 122)</w:t>
      </w:r>
      <w:r w:rsidR="004F6C90">
        <w:t xml:space="preserve">. Consequently, Husserl posits </w:t>
      </w:r>
      <w:r w:rsidR="00377A55">
        <w:t xml:space="preserve">“the intersubjective structure of the ego, but also the </w:t>
      </w:r>
      <w:proofErr w:type="spellStart"/>
      <w:r w:rsidR="00377A55">
        <w:t>egological</w:t>
      </w:r>
      <w:proofErr w:type="spellEnd"/>
      <w:r w:rsidR="00377A55">
        <w:t xml:space="preserve"> attachment of </w:t>
      </w:r>
      <w:proofErr w:type="spellStart"/>
      <w:r w:rsidR="00377A55">
        <w:t>intersubjectivity</w:t>
      </w:r>
      <w:proofErr w:type="spellEnd"/>
      <w:r w:rsidR="0022584B">
        <w:t>”</w:t>
      </w:r>
      <w:r w:rsidR="00377A55">
        <w:t xml:space="preserve"> (</w:t>
      </w:r>
      <w:proofErr w:type="spellStart"/>
      <w:r w:rsidR="0022584B">
        <w:t>Zahavi</w:t>
      </w:r>
      <w:proofErr w:type="spellEnd"/>
      <w:r w:rsidR="0022584B">
        <w:t xml:space="preserve">, </w:t>
      </w:r>
      <w:proofErr w:type="spellStart"/>
      <w:r w:rsidR="00C07BD4">
        <w:t>2003b</w:t>
      </w:r>
      <w:proofErr w:type="spellEnd"/>
      <w:r w:rsidR="0022584B">
        <w:t xml:space="preserve">, </w:t>
      </w:r>
      <w:r w:rsidR="00C07BD4">
        <w:t>p. 242</w:t>
      </w:r>
      <w:r w:rsidR="0022584B">
        <w:t>).</w:t>
      </w:r>
    </w:p>
    <w:p w:rsidR="008A2BA9" w:rsidRPr="005878CF" w:rsidRDefault="008A2BA9" w:rsidP="008A2BA9">
      <w:r>
        <w:t xml:space="preserve">In order for such processes to be activated, Husserl’s </w:t>
      </w:r>
      <w:r w:rsidRPr="00183C47">
        <w:t>phenomenological reduction (</w:t>
      </w:r>
      <w:proofErr w:type="spellStart"/>
      <w:r w:rsidRPr="00183C47">
        <w:rPr>
          <w:i/>
        </w:rPr>
        <w:t>epoché</w:t>
      </w:r>
      <w:proofErr w:type="spellEnd"/>
      <w:r w:rsidRPr="00183C47">
        <w:t xml:space="preserve">) </w:t>
      </w:r>
      <w:r>
        <w:t xml:space="preserve">is required. </w:t>
      </w:r>
      <w:r w:rsidRPr="009E2F7F">
        <w:t>By</w:t>
      </w:r>
      <w:r>
        <w:rPr>
          <w:i/>
        </w:rPr>
        <w:t xml:space="preserve"> </w:t>
      </w:r>
      <w:r>
        <w:t xml:space="preserve">bracketing </w:t>
      </w:r>
      <w:r w:rsidRPr="00FC77A3">
        <w:t>out</w:t>
      </w:r>
      <w:r>
        <w:t>, suspending,</w:t>
      </w:r>
      <w:r w:rsidRPr="00183C47">
        <w:t xml:space="preserve"> natural attitude </w:t>
      </w:r>
      <w:r>
        <w:t xml:space="preserve">and </w:t>
      </w:r>
      <w:r w:rsidRPr="00183C47">
        <w:t xml:space="preserve">by investigating the </w:t>
      </w:r>
      <w:proofErr w:type="spellStart"/>
      <w:r w:rsidRPr="00183C47">
        <w:t>sedimented</w:t>
      </w:r>
      <w:proofErr w:type="spellEnd"/>
      <w:r w:rsidRPr="00183C47">
        <w:t xml:space="preserve"> intentional history of the object</w:t>
      </w:r>
      <w:r>
        <w:t>, the phenomenological attitude is activated in order</w:t>
      </w:r>
      <w:r w:rsidRPr="00183C47">
        <w:t xml:space="preserve"> </w:t>
      </w:r>
      <w:r>
        <w:t xml:space="preserve">for the subject </w:t>
      </w:r>
      <w:r w:rsidRPr="00183C47">
        <w:t>to “seek for its “constitutive origins” and its “intentional</w:t>
      </w:r>
      <w:r>
        <w:t xml:space="preserve"> genesis” (Klein, 1940, p. 150). </w:t>
      </w:r>
      <w:r w:rsidRPr="00183C47">
        <w:t xml:space="preserve">During </w:t>
      </w:r>
      <w:proofErr w:type="spellStart"/>
      <w:r w:rsidRPr="00183C47">
        <w:t>epoché</w:t>
      </w:r>
      <w:proofErr w:type="spellEnd"/>
      <w:r w:rsidRPr="00183C47">
        <w:t xml:space="preserve">, </w:t>
      </w:r>
      <w:r>
        <w:t xml:space="preserve">the subjects’ thinking is not </w:t>
      </w:r>
      <w:r w:rsidRPr="00183C47">
        <w:t>just “passive, thoughtless repetition of words”</w:t>
      </w:r>
      <w:r>
        <w:t xml:space="preserve"> (Audi, 1999, p. 406), as it is characterised by the subjects’ intentionality and </w:t>
      </w:r>
      <w:r w:rsidRPr="005878CF">
        <w:t>immanence</w:t>
      </w:r>
      <w:r>
        <w:t xml:space="preserve"> to bring to the surface the </w:t>
      </w:r>
      <w:proofErr w:type="spellStart"/>
      <w:r>
        <w:t>sedimented</w:t>
      </w:r>
      <w:proofErr w:type="spellEnd"/>
      <w:r>
        <w:t xml:space="preserve"> already constructed and existing within the community knowledge.</w:t>
      </w:r>
    </w:p>
    <w:p w:rsidR="0022584B" w:rsidRDefault="0022584B" w:rsidP="00E4029C"/>
    <w:p w:rsidR="00D559D2" w:rsidRDefault="400DC388" w:rsidP="00D559D2">
      <w:pPr>
        <w:pStyle w:val="Heading2"/>
      </w:pPr>
      <w:r>
        <w:t xml:space="preserve">The </w:t>
      </w:r>
      <w:r w:rsidR="00A2633A">
        <w:t>transc</w:t>
      </w:r>
      <w:r w:rsidR="00650496">
        <w:t>e</w:t>
      </w:r>
      <w:r w:rsidR="00A2633A">
        <w:t>dental argument in ancient Greece</w:t>
      </w:r>
    </w:p>
    <w:p w:rsidR="00A2633A" w:rsidRDefault="00A2633A" w:rsidP="00AF07FA">
      <w:pPr>
        <w:keepNext/>
        <w:ind w:hanging="11"/>
        <w:outlineLvl w:val="2"/>
      </w:pPr>
      <w:r>
        <w:rPr>
          <w:b/>
        </w:rPr>
        <w:t>Towards the genesis of proof in ancient Greece</w:t>
      </w:r>
    </w:p>
    <w:p w:rsidR="007D2A0C" w:rsidRDefault="00CF213E" w:rsidP="00ED084C">
      <w:proofErr w:type="gramStart"/>
      <w:r>
        <w:t>Katz (2009) notes that the notion of proof appeared in ancient Greece.</w:t>
      </w:r>
      <w:proofErr w:type="gramEnd"/>
      <w:r>
        <w:t xml:space="preserve"> </w:t>
      </w:r>
      <w:r w:rsidR="0073310C">
        <w:t xml:space="preserve">Many of the mathematical results were already known, in the same way that something is known in the sensory-perceived world: as rules that held true for all the till then considered cases. </w:t>
      </w:r>
      <w:proofErr w:type="gramStart"/>
      <w:r w:rsidR="00650496" w:rsidRPr="00650496">
        <w:t>Though visual, empirical or measurement arguments existed in pre-Greek mathematics</w:t>
      </w:r>
      <w:r w:rsidR="00650496">
        <w:t>,</w:t>
      </w:r>
      <w:r w:rsidR="00650496" w:rsidRPr="00650496">
        <w:t xml:space="preserve"> </w:t>
      </w:r>
      <w:r w:rsidR="00650496">
        <w:t>w</w:t>
      </w:r>
      <w:r w:rsidR="0073310C">
        <w:t>ith Greek mathematics things changed</w:t>
      </w:r>
      <w:r w:rsidR="00650496">
        <w:t xml:space="preserve"> crucially to include deductive proofs that refer to the whole category of the under investigation objects.</w:t>
      </w:r>
      <w:proofErr w:type="gramEnd"/>
      <w:r w:rsidR="00650496">
        <w:t xml:space="preserve"> These proofs led to the birth of the notion of the theorem which allowed to the discovery/construction of till then unknown objects “</w:t>
      </w:r>
      <w:r w:rsidR="0073310C" w:rsidRPr="0073310C">
        <w:t>whose existence cannot be visualised and which cannot be physically realised</w:t>
      </w:r>
      <w:r w:rsidR="00ED084C" w:rsidRPr="1589BDAC">
        <w:t>”</w:t>
      </w:r>
      <w:r w:rsidR="0073310C" w:rsidRPr="1589BDAC">
        <w:t xml:space="preserve"> (</w:t>
      </w:r>
      <w:proofErr w:type="spellStart"/>
      <w:r w:rsidR="0073310C">
        <w:t>Grabiner</w:t>
      </w:r>
      <w:proofErr w:type="spellEnd"/>
      <w:r w:rsidR="0073310C">
        <w:t xml:space="preserve">, 2012, </w:t>
      </w:r>
      <w:r w:rsidR="0073310C" w:rsidRPr="0073310C">
        <w:t>p. 152)</w:t>
      </w:r>
      <w:r w:rsidR="00FA4642">
        <w:t>.</w:t>
      </w:r>
      <w:r w:rsidR="007D2A0C">
        <w:t xml:space="preserve"> Consider for example, the Pythagorean Theorem that </w:t>
      </w:r>
      <w:r w:rsidR="007D2A0C" w:rsidRPr="006F324C">
        <w:rPr>
          <w:i/>
        </w:rPr>
        <w:t>objectifies</w:t>
      </w:r>
      <w:r w:rsidR="007D2A0C">
        <w:t xml:space="preserve"> (</w:t>
      </w:r>
      <w:proofErr w:type="spellStart"/>
      <w:r w:rsidR="007D2A0C">
        <w:t>Moutsios-Rentzos</w:t>
      </w:r>
      <w:proofErr w:type="spellEnd"/>
      <w:r w:rsidR="007D2A0C">
        <w:t xml:space="preserve">, </w:t>
      </w:r>
      <w:proofErr w:type="spellStart"/>
      <w:r w:rsidR="007D2A0C">
        <w:t>Spyrou</w:t>
      </w:r>
      <w:proofErr w:type="spellEnd"/>
      <w:r w:rsidR="007D2A0C">
        <w:t xml:space="preserve"> &amp; </w:t>
      </w:r>
      <w:proofErr w:type="spellStart"/>
      <w:r w:rsidR="007D2A0C">
        <w:t>Peteinara</w:t>
      </w:r>
      <w:proofErr w:type="spellEnd"/>
      <w:r w:rsidR="007D2A0C">
        <w:t xml:space="preserve">, 2014) and generalises a till then established inductive truth about </w:t>
      </w:r>
      <w:r w:rsidR="007D2A0C">
        <w:lastRenderedPageBreak/>
        <w:t>the length of the sides of some right-angled triangles in order to address the whole category of right-angled triangles, thus allowing the perceptually invisible irrational numbers to be logically and linguistically ‘visible’, identifiable and communicable.</w:t>
      </w:r>
    </w:p>
    <w:p w:rsidR="007D2A0C" w:rsidRDefault="007D2A0C" w:rsidP="00ED084C">
      <w:r>
        <w:t xml:space="preserve">Such a change of perspective was the result of journey that included </w:t>
      </w:r>
    </w:p>
    <w:p w:rsidR="007D2A0C" w:rsidRDefault="007D2A0C" w:rsidP="007D2A0C">
      <w:pPr>
        <w:ind w:left="720"/>
        <w:jc w:val="left"/>
      </w:pPr>
      <w:r w:rsidRPr="009D3A61">
        <w:t>the desire to establish elementary first principles, the logical structure produced when problems are solved by reduction to simpler problems, the role of argument in Greek society, the central importance of philosophical argument in Greek thought, and the major contributions to mathematics resulting from using proof by contradiction (</w:t>
      </w:r>
      <w:proofErr w:type="spellStart"/>
      <w:r w:rsidRPr="009D3A61">
        <w:t>Grabiner</w:t>
      </w:r>
      <w:proofErr w:type="spellEnd"/>
      <w:r w:rsidRPr="009D3A61">
        <w:t>, 2012, p. 152).</w:t>
      </w:r>
    </w:p>
    <w:p w:rsidR="00FA4642" w:rsidRDefault="00AB1316" w:rsidP="00ED084C">
      <w:proofErr w:type="spellStart"/>
      <w:r w:rsidRPr="00AB1316">
        <w:t>Szabó</w:t>
      </w:r>
      <w:proofErr w:type="spellEnd"/>
      <w:r w:rsidRPr="00AB1316">
        <w:t xml:space="preserve"> (1978) </w:t>
      </w:r>
      <w:r w:rsidR="006F324C">
        <w:t>studied</w:t>
      </w:r>
      <w:r w:rsidRPr="00AB1316">
        <w:t xml:space="preserve"> the contemporary language of the market and the everyday life and discusses the ways that these words </w:t>
      </w:r>
      <w:r w:rsidRPr="00AB1316">
        <w:rPr>
          <w:lang w:val="en-US"/>
        </w:rPr>
        <w:t xml:space="preserve">entered the mathematical language. </w:t>
      </w:r>
      <w:r w:rsidR="006F324C">
        <w:rPr>
          <w:lang w:val="en-US"/>
        </w:rPr>
        <w:t>He posited</w:t>
      </w:r>
      <w:r w:rsidRPr="00AB1316">
        <w:rPr>
          <w:lang w:val="en-US"/>
        </w:rPr>
        <w:t xml:space="preserve"> that proof was evolved as a shift of the word ‘show’: from making something literally visible to making “the truth (or falsity) of a mathematical statement visible in some [not necessarily visual] way” (p. 189). The movement </w:t>
      </w:r>
      <w:r w:rsidRPr="00AB1316">
        <w:t>towards</w:t>
      </w:r>
      <w:r w:rsidRPr="00AB1316">
        <w:rPr>
          <w:lang w:val="en-US"/>
        </w:rPr>
        <w:t xml:space="preserve"> </w:t>
      </w:r>
      <w:r w:rsidRPr="00AB1316">
        <w:t>showing</w:t>
      </w:r>
      <w:r w:rsidRPr="00AB1316">
        <w:rPr>
          <w:lang w:val="en-US"/>
        </w:rPr>
        <w:t xml:space="preserve"> </w:t>
      </w:r>
      <w:r w:rsidRPr="00AB1316">
        <w:t>the</w:t>
      </w:r>
      <w:r w:rsidRPr="00AB1316">
        <w:rPr>
          <w:lang w:val="en-US"/>
        </w:rPr>
        <w:t xml:space="preserve"> </w:t>
      </w:r>
      <w:r w:rsidRPr="00AB1316">
        <w:t>non-perceptual</w:t>
      </w:r>
      <w:r w:rsidRPr="00AB1316">
        <w:rPr>
          <w:lang w:val="en-US"/>
        </w:rPr>
        <w:t xml:space="preserve"> </w:t>
      </w:r>
      <w:r w:rsidRPr="00AB1316">
        <w:t xml:space="preserve">constitutes the quest for the commonly accepted </w:t>
      </w:r>
      <w:r w:rsidRPr="00AB1316">
        <w:rPr>
          <w:i/>
        </w:rPr>
        <w:t>logos</w:t>
      </w:r>
      <w:r w:rsidRPr="00AB1316">
        <w:t xml:space="preserve">, since the argument was not bounded from the subjective perception, but laid within a conceptual extension of the perceived reality, thus allowing the discussion of, for example, dimensionless objects (points) and </w:t>
      </w:r>
      <w:proofErr w:type="spellStart"/>
      <w:r w:rsidRPr="00AB1316">
        <w:t>unidimensional</w:t>
      </w:r>
      <w:proofErr w:type="spellEnd"/>
      <w:r w:rsidRPr="00AB1316">
        <w:t xml:space="preserve"> objects of infinite length (lines).</w:t>
      </w:r>
    </w:p>
    <w:p w:rsidR="008C5264" w:rsidRDefault="008268FD" w:rsidP="00ED084C">
      <w:r>
        <w:t>Moreover, m</w:t>
      </w:r>
      <w:r w:rsidR="00431C23">
        <w:t>any</w:t>
      </w:r>
      <w:r>
        <w:t xml:space="preserve"> of the </w:t>
      </w:r>
      <w:r w:rsidR="00DB6812">
        <w:t xml:space="preserve">mathematical ideas and </w:t>
      </w:r>
      <w:r>
        <w:t>proving tools employed in the Elements</w:t>
      </w:r>
      <w:r w:rsidR="00DB6812">
        <w:t xml:space="preserve"> were already known and proved; for example, the aforementioned Pythagorean Theorem and advanced proving techniques such as non-constructive proofs, utilising </w:t>
      </w:r>
      <w:r w:rsidR="00DB6812" w:rsidRPr="0082225B">
        <w:rPr>
          <w:i/>
        </w:rPr>
        <w:t xml:space="preserve">principium </w:t>
      </w:r>
      <w:proofErr w:type="spellStart"/>
      <w:r w:rsidR="00DB6812" w:rsidRPr="0082225B">
        <w:rPr>
          <w:i/>
        </w:rPr>
        <w:t>tertii</w:t>
      </w:r>
      <w:proofErr w:type="spellEnd"/>
      <w:r w:rsidR="00DB6812" w:rsidRPr="0082225B">
        <w:rPr>
          <w:i/>
        </w:rPr>
        <w:t xml:space="preserve"> </w:t>
      </w:r>
      <w:proofErr w:type="spellStart"/>
      <w:r w:rsidR="00DB6812" w:rsidRPr="0082225B">
        <w:rPr>
          <w:i/>
        </w:rPr>
        <w:t>exclusi</w:t>
      </w:r>
      <w:proofErr w:type="spellEnd"/>
      <w:r w:rsidR="00DB6812" w:rsidRPr="00DB6812">
        <w:t xml:space="preserve"> </w:t>
      </w:r>
      <w:r w:rsidR="00DB6812">
        <w:t xml:space="preserve">and </w:t>
      </w:r>
      <w:proofErr w:type="spellStart"/>
      <w:r w:rsidR="00DB6812" w:rsidRPr="0082225B">
        <w:rPr>
          <w:i/>
        </w:rPr>
        <w:t>reductio</w:t>
      </w:r>
      <w:proofErr w:type="spellEnd"/>
      <w:r w:rsidR="00DB6812" w:rsidRPr="0082225B">
        <w:rPr>
          <w:i/>
        </w:rPr>
        <w:t xml:space="preserve"> ad absurdum</w:t>
      </w:r>
      <w:r w:rsidR="003E4D6B">
        <w:t xml:space="preserve"> (</w:t>
      </w:r>
      <w:proofErr w:type="spellStart"/>
      <w:r w:rsidR="003E4D6B">
        <w:t>Bochenski</w:t>
      </w:r>
      <w:proofErr w:type="spellEnd"/>
      <w:r w:rsidR="003E4D6B">
        <w:t>, 19</w:t>
      </w:r>
      <w:r w:rsidR="001A7D1D">
        <w:t>61</w:t>
      </w:r>
      <w:r w:rsidR="003E4D6B">
        <w:t xml:space="preserve">; </w:t>
      </w:r>
      <w:proofErr w:type="spellStart"/>
      <w:r w:rsidR="003E4D6B">
        <w:t>Kneale</w:t>
      </w:r>
      <w:proofErr w:type="spellEnd"/>
      <w:r w:rsidR="003E4D6B">
        <w:t xml:space="preserve"> &amp; </w:t>
      </w:r>
      <w:proofErr w:type="spellStart"/>
      <w:r w:rsidR="003E4D6B">
        <w:t>Kneale</w:t>
      </w:r>
      <w:proofErr w:type="spellEnd"/>
      <w:r w:rsidR="003E4D6B">
        <w:t>, 1985)</w:t>
      </w:r>
      <w:r w:rsidR="00DB6812">
        <w:t xml:space="preserve">. </w:t>
      </w:r>
      <w:proofErr w:type="spellStart"/>
      <w:r w:rsidR="004F6C90">
        <w:t>Neverheless</w:t>
      </w:r>
      <w:proofErr w:type="spellEnd"/>
      <w:r w:rsidR="004F6C90">
        <w:t>, w</w:t>
      </w:r>
      <w:r w:rsidR="00DB6812">
        <w:t>ith Elements (and other similar efforts of the time)</w:t>
      </w:r>
      <w:r w:rsidR="00B33F73">
        <w:t xml:space="preserve"> a new era of Greek mathematics (and mathematics) arose. The mathematical ideas were re-organised to form a primitive proof-based version of an axiomatic system: starting from commonly accepted notions and statements, each subsequent proposition deductively derives from the already established as mathematically accepted by means of a proof. </w:t>
      </w:r>
    </w:p>
    <w:p w:rsidR="00DB6812" w:rsidRDefault="008C5264" w:rsidP="00ED084C">
      <w:r>
        <w:t>I</w:t>
      </w:r>
      <w:r w:rsidR="00B33F73">
        <w:t xml:space="preserve">n the Elements, essentially a textbook of its time, the teaching, learning and producing mathematics </w:t>
      </w:r>
      <w:r w:rsidR="0006296E">
        <w:t xml:space="preserve">converge </w:t>
      </w:r>
      <w:r w:rsidR="00B33F73">
        <w:t>within a hierarchical, deductively constructed axiomatic-type structure</w:t>
      </w:r>
      <w:r w:rsidR="0006296E">
        <w:t xml:space="preserve"> of common origins</w:t>
      </w:r>
      <w:r w:rsidR="00B33F73">
        <w:t>.</w:t>
      </w:r>
      <w:r w:rsidR="00264A1A">
        <w:t xml:space="preserve"> </w:t>
      </w:r>
      <w:r>
        <w:t>T</w:t>
      </w:r>
      <w:r w:rsidR="0006296E">
        <w:t xml:space="preserve">his </w:t>
      </w:r>
      <w:r w:rsidR="00F64A18">
        <w:t xml:space="preserve">structure is </w:t>
      </w:r>
      <w:r w:rsidR="0006296E">
        <w:t xml:space="preserve">in line with the early (around 300 years before </w:t>
      </w:r>
      <w:r w:rsidR="0015157D">
        <w:t>the Euclid</w:t>
      </w:r>
      <w:r w:rsidR="0006296E">
        <w:t xml:space="preserve">) attempts of </w:t>
      </w:r>
      <w:r w:rsidR="00264A1A">
        <w:t xml:space="preserve">pre-Socratic philosophers to assign the primordial </w:t>
      </w:r>
      <w:r w:rsidR="00B232DD">
        <w:t xml:space="preserve">natural (not divine) </w:t>
      </w:r>
      <w:r w:rsidR="00264A1A">
        <w:t>origins of the cosmos</w:t>
      </w:r>
      <w:r w:rsidR="00B232DD">
        <w:t xml:space="preserve"> (such as fire or water)</w:t>
      </w:r>
      <w:r w:rsidR="0006296E">
        <w:t xml:space="preserve"> and closer to Aristotle’</w:t>
      </w:r>
      <w:r w:rsidR="0015157D">
        <w:t>s claim</w:t>
      </w:r>
      <w:r w:rsidR="002F097D">
        <w:t xml:space="preserve"> that a </w:t>
      </w:r>
      <w:r w:rsidR="003E4D6B">
        <w:t>scientific discipline</w:t>
      </w:r>
      <w:r w:rsidR="002F097D">
        <w:t xml:space="preserve"> should contain </w:t>
      </w:r>
      <w:r w:rsidR="0015157D">
        <w:t>the arche</w:t>
      </w:r>
      <w:r w:rsidR="003E4D6B">
        <w:t>s</w:t>
      </w:r>
      <w:r w:rsidR="002F097D">
        <w:t xml:space="preserve"> (beginning</w:t>
      </w:r>
      <w:r w:rsidR="003E4D6B">
        <w:t>s</w:t>
      </w:r>
      <w:r w:rsidR="002F097D">
        <w:t>) of things, the first principle</w:t>
      </w:r>
      <w:r w:rsidR="003E4D6B">
        <w:t>s</w:t>
      </w:r>
      <w:r w:rsidR="002F097D">
        <w:t>, the element</w:t>
      </w:r>
      <w:r w:rsidR="003E4D6B">
        <w:t>s</w:t>
      </w:r>
      <w:r w:rsidR="002F097D">
        <w:t xml:space="preserve"> </w:t>
      </w:r>
      <w:r w:rsidR="003E4D6B">
        <w:t xml:space="preserve">upon which the whole discipline is constructed </w:t>
      </w:r>
      <w:r w:rsidR="002F097D">
        <w:t>(</w:t>
      </w:r>
      <w:proofErr w:type="spellStart"/>
      <w:r w:rsidR="003E4D6B">
        <w:t>Arist</w:t>
      </w:r>
      <w:proofErr w:type="spellEnd"/>
      <w:r w:rsidR="003E4D6B">
        <w:t xml:space="preserve">. </w:t>
      </w:r>
      <w:proofErr w:type="gramStart"/>
      <w:r w:rsidR="003E4D6B">
        <w:t>Metaph. 995a-998b</w:t>
      </w:r>
      <w:r w:rsidR="002F097D">
        <w:t>)</w:t>
      </w:r>
      <w:r w:rsidR="00B232DD">
        <w:t>.</w:t>
      </w:r>
      <w:proofErr w:type="gramEnd"/>
    </w:p>
    <w:p w:rsidR="0073310C" w:rsidRDefault="003E4D6B" w:rsidP="00F64A18">
      <w:r>
        <w:t xml:space="preserve">Consequently, Euclid’s Elements did not </w:t>
      </w:r>
      <w:r w:rsidR="00F64A18">
        <w:t xml:space="preserve">suddenly </w:t>
      </w:r>
      <w:r>
        <w:t xml:space="preserve">appear </w:t>
      </w:r>
      <w:r w:rsidR="007D2A0C">
        <w:t xml:space="preserve">in </w:t>
      </w:r>
      <w:r w:rsidR="00F64A18">
        <w:t>ancient Greece</w:t>
      </w:r>
      <w:r>
        <w:t xml:space="preserve">, but </w:t>
      </w:r>
      <w:r w:rsidR="00F64A18">
        <w:t>they seem to be</w:t>
      </w:r>
      <w:r>
        <w:t xml:space="preserve"> the outcome of several centuries of mathematical and intellectual journeys. </w:t>
      </w:r>
      <w:r w:rsidR="00F64A18">
        <w:t xml:space="preserve">These journeys crucially occurred within </w:t>
      </w:r>
      <w:r w:rsidR="001322CE">
        <w:t>specific socio-cultural context</w:t>
      </w:r>
      <w:r w:rsidR="00F64A18">
        <w:t xml:space="preserve">. </w:t>
      </w:r>
      <w:r>
        <w:t xml:space="preserve">A multiplicity of factors formed a </w:t>
      </w:r>
      <w:r w:rsidR="0024695B">
        <w:t xml:space="preserve">socio-cultural </w:t>
      </w:r>
      <w:r>
        <w:t xml:space="preserve">complexity within which proof </w:t>
      </w:r>
      <w:r>
        <w:lastRenderedPageBreak/>
        <w:t>appeared to be ‘natural’. But which could be the</w:t>
      </w:r>
      <w:r w:rsidR="0024695B">
        <w:t>se</w:t>
      </w:r>
      <w:r>
        <w:t xml:space="preserve"> decisive factors that allowed the proof to arise as a necessity?</w:t>
      </w:r>
    </w:p>
    <w:p w:rsidR="00F64A18" w:rsidRDefault="00F64A18" w:rsidP="00F64A18"/>
    <w:p w:rsidR="00A2633A" w:rsidRDefault="00F70994" w:rsidP="00AF07FA">
      <w:pPr>
        <w:keepNext/>
        <w:ind w:hanging="11"/>
        <w:outlineLvl w:val="2"/>
      </w:pPr>
      <w:r>
        <w:rPr>
          <w:b/>
        </w:rPr>
        <w:t>T</w:t>
      </w:r>
      <w:r w:rsidR="00B26AF2">
        <w:rPr>
          <w:b/>
        </w:rPr>
        <w:t>he rise of argued thesis</w:t>
      </w:r>
      <w:r w:rsidR="006C4A20">
        <w:rPr>
          <w:b/>
        </w:rPr>
        <w:t xml:space="preserve"> within the ancient Greek polis</w:t>
      </w:r>
    </w:p>
    <w:p w:rsidR="1C34D77D" w:rsidRDefault="00D1308D">
      <w:r>
        <w:t>The Elements were written around 300 BC synthesising and extending in a hierarchical, deductive, axiomatic-type structure of thirteen books the work of important mathematicians i</w:t>
      </w:r>
      <w:r w:rsidR="00475679">
        <w:t>ncluding Pythagoras, Hippocrates</w:t>
      </w:r>
      <w:r>
        <w:t xml:space="preserve"> of Chios, and </w:t>
      </w:r>
      <w:proofErr w:type="spellStart"/>
      <w:r>
        <w:t>Eudoxus</w:t>
      </w:r>
      <w:proofErr w:type="spellEnd"/>
      <w:r>
        <w:t xml:space="preserve"> of Cnidus. </w:t>
      </w:r>
      <w:r w:rsidR="00475679">
        <w:t>The Greek socio-cultural context underwent radical changes in comparison with the Greek Dark Ages (10</w:t>
      </w:r>
      <w:r w:rsidR="00475679" w:rsidRPr="00475679">
        <w:rPr>
          <w:vertAlign w:val="superscript"/>
        </w:rPr>
        <w:t>th</w:t>
      </w:r>
      <w:r w:rsidR="00475679">
        <w:t xml:space="preserve"> century BC). </w:t>
      </w:r>
      <w:r w:rsidR="001322CE">
        <w:t xml:space="preserve">In line with </w:t>
      </w:r>
      <w:proofErr w:type="spellStart"/>
      <w:r w:rsidR="001322CE">
        <w:t>Vernant</w:t>
      </w:r>
      <w:proofErr w:type="spellEnd"/>
      <w:r w:rsidR="001322CE">
        <w:t xml:space="preserve"> (1975), w</w:t>
      </w:r>
      <w:r w:rsidR="00475679">
        <w:t xml:space="preserve">e argue that the transformation </w:t>
      </w:r>
      <w:r w:rsidR="00F70994">
        <w:t xml:space="preserve">of Homer’s </w:t>
      </w:r>
      <w:r w:rsidR="00475679">
        <w:t xml:space="preserve">Greek society </w:t>
      </w:r>
      <w:r w:rsidR="00F70994">
        <w:t xml:space="preserve">from </w:t>
      </w:r>
      <w:proofErr w:type="spellStart"/>
      <w:r w:rsidR="00475679" w:rsidRPr="008B4A43">
        <w:rPr>
          <w:i/>
        </w:rPr>
        <w:t>anax</w:t>
      </w:r>
      <w:proofErr w:type="spellEnd"/>
      <w:r w:rsidR="00475679">
        <w:t xml:space="preserve"> to </w:t>
      </w:r>
      <w:proofErr w:type="spellStart"/>
      <w:r w:rsidR="00475679" w:rsidRPr="008B4A43">
        <w:rPr>
          <w:i/>
        </w:rPr>
        <w:t>basileus</w:t>
      </w:r>
      <w:proofErr w:type="spellEnd"/>
      <w:r w:rsidR="00475679">
        <w:t xml:space="preserve"> (</w:t>
      </w:r>
      <w:proofErr w:type="spellStart"/>
      <w:r w:rsidR="00475679">
        <w:t>Sarkady</w:t>
      </w:r>
      <w:proofErr w:type="spellEnd"/>
      <w:r w:rsidR="00475679">
        <w:t>, 1975)</w:t>
      </w:r>
      <w:r w:rsidR="00B26AF2">
        <w:t>,</w:t>
      </w:r>
      <w:r w:rsidR="00475679">
        <w:t xml:space="preserve"> to a </w:t>
      </w:r>
      <w:r w:rsidR="00F70994">
        <w:t xml:space="preserve">society that </w:t>
      </w:r>
      <w:r w:rsidR="00475679">
        <w:t>regress</w:t>
      </w:r>
      <w:r w:rsidR="00F70994">
        <w:t>ed</w:t>
      </w:r>
      <w:r w:rsidR="00475679">
        <w:t xml:space="preserve"> between aristocracy and democracy</w:t>
      </w:r>
      <w:r w:rsidR="00B26AF2">
        <w:t>,</w:t>
      </w:r>
      <w:r w:rsidR="00475679">
        <w:t xml:space="preserve"> </w:t>
      </w:r>
      <w:r w:rsidR="00B26AF2">
        <w:t xml:space="preserve">which </w:t>
      </w:r>
      <w:r w:rsidR="00475679">
        <w:t>le</w:t>
      </w:r>
      <w:r w:rsidR="00F70994">
        <w:t>a</w:t>
      </w:r>
      <w:r w:rsidR="00475679">
        <w:t>d to the formation of the Greek city (</w:t>
      </w:r>
      <w:r w:rsidR="00475679">
        <w:rPr>
          <w:i/>
        </w:rPr>
        <w:t>polis</w:t>
      </w:r>
      <w:r w:rsidR="00475679">
        <w:t>)</w:t>
      </w:r>
      <w:r w:rsidR="00F70994">
        <w:t xml:space="preserve"> was the decisive series of events that enabled the necessity for an impersonal, deductive with reference to commonly accepted notions proof to arise. In this section, we concentrate on a description of the aspects of the socio-cultural transformation that we consider to be relevant to the genesis of proof in ancient Greece.</w:t>
      </w:r>
    </w:p>
    <w:p w:rsidR="0024695B" w:rsidRDefault="400DC388" w:rsidP="00CF213E">
      <w:r>
        <w:t>The sociocultural context of the ancient Greek city (</w:t>
      </w:r>
      <w:r w:rsidRPr="400DC388">
        <w:rPr>
          <w:i/>
          <w:iCs/>
        </w:rPr>
        <w:t>polis</w:t>
      </w:r>
      <w:r>
        <w:t xml:space="preserve">) appears to be the crucial factor that enabled the change of perspective about the issues that proof addresses in mathematics. Polis was the result of a transformation from monarchy to democracy. Employing the case of ancient Athens as an exemplar, we find that the legislation of </w:t>
      </w:r>
      <w:proofErr w:type="spellStart"/>
      <w:r>
        <w:t>Solon</w:t>
      </w:r>
      <w:proofErr w:type="spellEnd"/>
      <w:r>
        <w:t xml:space="preserve"> and crucially of Cleisthenes changed the social structure of Athens, resulting to a radically transformed lived social reality. The Athenians were administratively organised in ten geographical regions that purposefully did not correspond to the </w:t>
      </w:r>
      <w:r w:rsidRPr="00631915">
        <w:t xml:space="preserve">traditional </w:t>
      </w:r>
      <w:r w:rsidRPr="00631915">
        <w:rPr>
          <w:i/>
          <w:iCs/>
        </w:rPr>
        <w:t>phyla</w:t>
      </w:r>
      <w:r w:rsidRPr="00631915">
        <w:t xml:space="preserve"> (‘families’),</w:t>
      </w:r>
      <w:r>
        <w:t xml:space="preserve"> in order to shuffle the traditional, blood-centred, immediate social circle of the individual. Thus, the new immediate social family was not based only on blood relations, but also on a </w:t>
      </w:r>
      <w:r w:rsidRPr="400DC388">
        <w:rPr>
          <w:i/>
          <w:iCs/>
        </w:rPr>
        <w:t>purposefully arbitrary</w:t>
      </w:r>
      <w:r w:rsidR="0024695B">
        <w:t xml:space="preserve"> geographical proximity.</w:t>
      </w:r>
    </w:p>
    <w:p w:rsidR="0024695B" w:rsidRDefault="400DC388" w:rsidP="00CF213E">
      <w:r>
        <w:t xml:space="preserve">Moreover, each of the ten new regions was the ruling region for a tenth of the solar year. This meant that each ruling month was not a lunar month. The </w:t>
      </w:r>
      <w:r w:rsidRPr="00B012CF">
        <w:rPr>
          <w:i/>
        </w:rPr>
        <w:t>time</w:t>
      </w:r>
      <w:r>
        <w:t xml:space="preserve"> that a region was in power was </w:t>
      </w:r>
      <w:r w:rsidRPr="400DC388">
        <w:rPr>
          <w:i/>
          <w:iCs/>
        </w:rPr>
        <w:t>not</w:t>
      </w:r>
      <w:r>
        <w:t xml:space="preserve"> </w:t>
      </w:r>
      <w:r w:rsidRPr="00B012CF">
        <w:rPr>
          <w:i/>
        </w:rPr>
        <w:t>measured</w:t>
      </w:r>
      <w:r>
        <w:t xml:space="preserve"> with reference to nature, but according to a </w:t>
      </w:r>
      <w:r w:rsidRPr="400DC388">
        <w:rPr>
          <w:i/>
          <w:iCs/>
        </w:rPr>
        <w:t>purposefully arbitrary</w:t>
      </w:r>
      <w:r>
        <w:t xml:space="preserve"> chosen fraction of the solar year. ‘Arbitrary’ is emphasised, because the </w:t>
      </w:r>
      <w:r w:rsidRPr="00B012CF">
        <w:rPr>
          <w:i/>
        </w:rPr>
        <w:t>number</w:t>
      </w:r>
      <w:r>
        <w:t xml:space="preserve"> of the new regions could anything that would ensure the re-ar</w:t>
      </w:r>
      <w:r w:rsidR="0024695B">
        <w:t>rangement of the old structure</w:t>
      </w:r>
      <w:r w:rsidR="00B012CF">
        <w:t xml:space="preserve"> in a way that is freed from the existing both natural and humanly experienced establishment of time</w:t>
      </w:r>
      <w:r w:rsidR="0024695B">
        <w:t>.</w:t>
      </w:r>
    </w:p>
    <w:p w:rsidR="00F02D3E" w:rsidRDefault="400DC388" w:rsidP="006C4A20">
      <w:r>
        <w:t xml:space="preserve">Furthermore, </w:t>
      </w:r>
      <w:proofErr w:type="spellStart"/>
      <w:r>
        <w:t>Solon’s</w:t>
      </w:r>
      <w:proofErr w:type="spellEnd"/>
      <w:r>
        <w:t xml:space="preserve"> changes produced a hierarchy of citizens, according to specific analogies forming a harmony (</w:t>
      </w:r>
      <w:r w:rsidR="006C4A20">
        <w:t xml:space="preserve">for example, </w:t>
      </w:r>
      <w:r>
        <w:t>2/1, 3/2, 4/3)</w:t>
      </w:r>
      <w:r w:rsidR="006C4A20">
        <w:t xml:space="preserve">, which quantifies the power relationships amongst the different classes of citizens (namely </w:t>
      </w:r>
      <w:proofErr w:type="spellStart"/>
      <w:r w:rsidR="006C4A20">
        <w:t>Pentacosiomedimni</w:t>
      </w:r>
      <w:proofErr w:type="spellEnd"/>
      <w:r w:rsidR="006C4A20">
        <w:t xml:space="preserve">, </w:t>
      </w:r>
      <w:proofErr w:type="spellStart"/>
      <w:r w:rsidR="006C4A20">
        <w:t>Hippeis</w:t>
      </w:r>
      <w:proofErr w:type="spellEnd"/>
      <w:r w:rsidR="006C4A20">
        <w:t xml:space="preserve">, </w:t>
      </w:r>
      <w:proofErr w:type="spellStart"/>
      <w:r w:rsidR="006C4A20">
        <w:t>Zeugitae</w:t>
      </w:r>
      <w:proofErr w:type="spellEnd"/>
      <w:r w:rsidR="00544F62">
        <w:t xml:space="preserve">, </w:t>
      </w:r>
      <w:proofErr w:type="spellStart"/>
      <w:r w:rsidR="006C4A20">
        <w:t>Thetes</w:t>
      </w:r>
      <w:proofErr w:type="spellEnd"/>
      <w:r w:rsidR="00544F62">
        <w:t>)</w:t>
      </w:r>
      <w:r>
        <w:t>. Cleisthenes’ reform reduced all these relationships to a single analogy, the simplest possible: 1/1. All the citizens were equal with respect to access and power within the polis, regardless of their profession, family name or wealth.</w:t>
      </w:r>
    </w:p>
    <w:p w:rsidR="00631915" w:rsidRDefault="2EA6120E" w:rsidP="00E67A62">
      <w:r>
        <w:lastRenderedPageBreak/>
        <w:t xml:space="preserve">Within the polis all the important aspects of life assumed a public character. The significant private obtains its ‘significant’ status by becoming object of the community. For example, murder was not a private matter to be resolved amongst individuals. It is a public matter open to the actions of the community which focus on the ‘objective’, verbally described characteristics of the </w:t>
      </w:r>
      <w:r w:rsidRPr="2EA6120E">
        <w:rPr>
          <w:i/>
          <w:iCs/>
        </w:rPr>
        <w:t>situation</w:t>
      </w:r>
      <w:r>
        <w:t xml:space="preserve">, rather than on </w:t>
      </w:r>
      <w:r w:rsidRPr="2EA6120E">
        <w:rPr>
          <w:i/>
          <w:iCs/>
        </w:rPr>
        <w:t>who</w:t>
      </w:r>
      <w:r>
        <w:t xml:space="preserve"> was involved in the incident. In order for ‘justice’ to be reached, the community had to be convinced of what happened, to construct </w:t>
      </w:r>
      <w:proofErr w:type="gramStart"/>
      <w:r>
        <w:t>a shared logos</w:t>
      </w:r>
      <w:proofErr w:type="gramEnd"/>
      <w:r>
        <w:t xml:space="preserve">. Note that </w:t>
      </w:r>
      <w:proofErr w:type="gramStart"/>
      <w:r w:rsidRPr="2EA6120E">
        <w:rPr>
          <w:i/>
          <w:iCs/>
        </w:rPr>
        <w:t>logos</w:t>
      </w:r>
      <w:r>
        <w:t xml:space="preserve"> in Greek has</w:t>
      </w:r>
      <w:proofErr w:type="gramEnd"/>
      <w:r>
        <w:t xml:space="preserve"> a multiplicity of meanings inclu</w:t>
      </w:r>
      <w:r w:rsidR="00544F62">
        <w:t xml:space="preserve">ding oral speech, reasoning, </w:t>
      </w:r>
      <w:r>
        <w:t>ratio</w:t>
      </w:r>
      <w:r w:rsidR="00544F62">
        <w:t xml:space="preserve">, </w:t>
      </w:r>
      <w:r>
        <w:t xml:space="preserve">and relationship </w:t>
      </w:r>
      <w:r w:rsidR="00544F62">
        <w:t>in general</w:t>
      </w:r>
      <w:r>
        <w:t>. The common logos emerged as the ruling power of the city, forming a differentiated from ethics law; the ethically acceptable may or may not be l</w:t>
      </w:r>
      <w:r w:rsidR="00631915">
        <w:t>awful.</w:t>
      </w:r>
    </w:p>
    <w:p w:rsidR="00EF322B" w:rsidRDefault="00EF322B" w:rsidP="00EF322B">
      <w:r>
        <w:t xml:space="preserve">Furthermore, the </w:t>
      </w:r>
      <w:proofErr w:type="gramStart"/>
      <w:r>
        <w:t>conceptualisation of the divine nature of justice appear</w:t>
      </w:r>
      <w:proofErr w:type="gramEnd"/>
      <w:r>
        <w:t xml:space="preserve"> to have qualitatively changed. Dike (justice) and </w:t>
      </w:r>
      <w:proofErr w:type="spellStart"/>
      <w:r>
        <w:t>Peitho</w:t>
      </w:r>
      <w:proofErr w:type="spellEnd"/>
      <w:r>
        <w:t xml:space="preserve"> (persuasion) in the Greek Dark Ages (10</w:t>
      </w:r>
      <w:r w:rsidRPr="00631915">
        <w:rPr>
          <w:vertAlign w:val="superscript"/>
        </w:rPr>
        <w:t>th</w:t>
      </w:r>
      <w:r>
        <w:t>-9</w:t>
      </w:r>
      <w:r w:rsidRPr="00631915">
        <w:rPr>
          <w:vertAlign w:val="superscript"/>
        </w:rPr>
        <w:t>th</w:t>
      </w:r>
      <w:r>
        <w:t xml:space="preserve"> century BC) were the goddesses personifying the respective abstract concepts stressing the divine origin of both justice and persuasion. In contrast, in the polis justice and persuasion became a matter of social construction through the social practices, not of a metaphysical world.</w:t>
      </w:r>
    </w:p>
    <w:p w:rsidR="00E67A62" w:rsidRPr="006246C6" w:rsidRDefault="00EF322B" w:rsidP="00575CB3">
      <w:r>
        <w:t>Moreover, t</w:t>
      </w:r>
      <w:r w:rsidR="2EA6120E">
        <w:t>he citizens of the polis were characterised as such by actively participating in the common matters.</w:t>
      </w:r>
      <w:r w:rsidR="00B012CF">
        <w:t xml:space="preserve"> The Athenian </w:t>
      </w:r>
      <w:r w:rsidR="00B012CF" w:rsidRPr="1589BDAC">
        <w:rPr>
          <w:i/>
          <w:iCs/>
        </w:rPr>
        <w:t>idiot</w:t>
      </w:r>
      <w:r w:rsidR="00B012CF">
        <w:t xml:space="preserve"> (‘private’) was the person who either lacked the reasoning skills or chose not to contribute in the public affairs.</w:t>
      </w:r>
      <w:r w:rsidR="00B012CF" w:rsidRPr="1589BDAC">
        <w:rPr>
          <w:lang w:val="en-US"/>
        </w:rPr>
        <w:t xml:space="preserve"> </w:t>
      </w:r>
      <w:r w:rsidR="00B012CF">
        <w:t>The citizen was a ‘subject’ to the logos (</w:t>
      </w:r>
      <w:proofErr w:type="spellStart"/>
      <w:r w:rsidR="008B4A43">
        <w:rPr>
          <w:i/>
        </w:rPr>
        <w:t>ypo</w:t>
      </w:r>
      <w:r w:rsidR="00B012CF" w:rsidRPr="008B4A43">
        <w:rPr>
          <w:i/>
        </w:rPr>
        <w:t>logos</w:t>
      </w:r>
      <w:proofErr w:type="spellEnd"/>
      <w:r w:rsidR="00B012CF">
        <w:t xml:space="preserve">), to the verbal communication and co-construction of the common, argued meaning. Within this lived </w:t>
      </w:r>
      <w:r w:rsidR="00B012CF">
        <w:rPr>
          <w:i/>
        </w:rPr>
        <w:t>public space</w:t>
      </w:r>
      <w:r w:rsidR="00B012CF">
        <w:t xml:space="preserve"> (Arendt, 1958), the citizen </w:t>
      </w:r>
      <w:r w:rsidR="00575CB3">
        <w:t>through the Aristotelian “</w:t>
      </w:r>
      <w:r w:rsidR="00575CB3" w:rsidRPr="00575CB3">
        <w:t>sharing of words and deeds</w:t>
      </w:r>
      <w:r w:rsidR="00575CB3">
        <w:t>” (p. 197) could realise their potential individual good, realising at the same time the common good, since the polis is not the geographical town in Homer’s world, but “it is the space of appearance in the widest sense of the word, namely, the space where I appear to others as others appear to me” (p. 198).</w:t>
      </w:r>
      <w:r w:rsidR="007430FE">
        <w:t xml:space="preserve"> </w:t>
      </w:r>
    </w:p>
    <w:p w:rsidR="001322CE" w:rsidRDefault="2392E6ED" w:rsidP="001322CE">
      <w:r>
        <w:t>Language and the arguments employed were at the crux of this process.</w:t>
      </w:r>
      <w:r w:rsidR="007430FE">
        <w:t xml:space="preserve"> </w:t>
      </w:r>
      <w:r w:rsidR="0001213C">
        <w:t>In</w:t>
      </w:r>
      <w:r w:rsidR="007430FE" w:rsidRPr="007430FE">
        <w:t xml:space="preserve"> </w:t>
      </w:r>
      <w:r w:rsidR="007430FE">
        <w:t>the</w:t>
      </w:r>
      <w:r w:rsidR="007430FE" w:rsidRPr="007430FE">
        <w:t xml:space="preserve"> </w:t>
      </w:r>
      <w:r w:rsidR="007430FE">
        <w:t>words</w:t>
      </w:r>
      <w:r w:rsidR="007430FE" w:rsidRPr="007430FE">
        <w:t xml:space="preserve"> </w:t>
      </w:r>
      <w:r w:rsidR="007430FE">
        <w:t>of</w:t>
      </w:r>
      <w:r w:rsidR="007430FE" w:rsidRPr="007430FE">
        <w:t xml:space="preserve"> </w:t>
      </w:r>
      <w:r w:rsidR="007430FE">
        <w:t xml:space="preserve">Isocrates: </w:t>
      </w:r>
      <w:r w:rsidR="0001213C">
        <w:t>“</w:t>
      </w:r>
      <w:r w:rsidR="007430FE" w:rsidRPr="007430FE">
        <w:t>but, because there has been implanted in us the power to persuade each other and to make clear t</w:t>
      </w:r>
      <w:r w:rsidR="0001213C">
        <w:t xml:space="preserve">o each other whatever we desire […] </w:t>
      </w:r>
      <w:r w:rsidR="007430FE" w:rsidRPr="007430FE">
        <w:t>we have come together and founded cities and made laws and invented arts</w:t>
      </w:r>
      <w:r w:rsidR="0001213C">
        <w:t>” (</w:t>
      </w:r>
      <w:proofErr w:type="spellStart"/>
      <w:r w:rsidR="0001213C">
        <w:t>Isoc</w:t>
      </w:r>
      <w:proofErr w:type="spellEnd"/>
      <w:r w:rsidR="0001213C">
        <w:t xml:space="preserve">. </w:t>
      </w:r>
      <w:proofErr w:type="gramStart"/>
      <w:r w:rsidR="0001213C">
        <w:t>To</w:t>
      </w:r>
      <w:r w:rsidR="0001213C" w:rsidRPr="006246C6">
        <w:t xml:space="preserve"> </w:t>
      </w:r>
      <w:proofErr w:type="spellStart"/>
      <w:r w:rsidR="0001213C">
        <w:t>Nicocles</w:t>
      </w:r>
      <w:proofErr w:type="spellEnd"/>
      <w:r w:rsidR="0001213C" w:rsidRPr="006246C6">
        <w:t xml:space="preserve"> 3.6).</w:t>
      </w:r>
      <w:proofErr w:type="gramEnd"/>
      <w:r w:rsidR="007430FE" w:rsidRPr="006246C6">
        <w:t xml:space="preserve"> </w:t>
      </w:r>
      <w:r>
        <w:t>Through</w:t>
      </w:r>
      <w:r w:rsidRPr="00C21BD4">
        <w:t xml:space="preserve"> </w:t>
      </w:r>
      <w:r>
        <w:t>language</w:t>
      </w:r>
      <w:r w:rsidRPr="00C21BD4">
        <w:t xml:space="preserve"> </w:t>
      </w:r>
      <w:r>
        <w:t>the</w:t>
      </w:r>
      <w:r w:rsidRPr="00C21BD4">
        <w:t xml:space="preserve"> </w:t>
      </w:r>
      <w:r>
        <w:t>private</w:t>
      </w:r>
      <w:r w:rsidRPr="00C21BD4">
        <w:t xml:space="preserve"> </w:t>
      </w:r>
      <w:r>
        <w:t>meanings</w:t>
      </w:r>
      <w:r w:rsidRPr="00C21BD4">
        <w:t xml:space="preserve"> </w:t>
      </w:r>
      <w:r>
        <w:t>were</w:t>
      </w:r>
      <w:r w:rsidRPr="00C21BD4">
        <w:t xml:space="preserve"> </w:t>
      </w:r>
      <w:r>
        <w:t>communicated</w:t>
      </w:r>
      <w:r w:rsidRPr="00C21BD4">
        <w:t xml:space="preserve"> </w:t>
      </w:r>
      <w:r>
        <w:t>and</w:t>
      </w:r>
      <w:r w:rsidRPr="00C21BD4">
        <w:t xml:space="preserve"> </w:t>
      </w:r>
      <w:r>
        <w:t>through</w:t>
      </w:r>
      <w:r w:rsidRPr="00C21BD4">
        <w:t xml:space="preserve"> </w:t>
      </w:r>
      <w:r>
        <w:t>convergences</w:t>
      </w:r>
      <w:r w:rsidRPr="00C21BD4">
        <w:t xml:space="preserve"> </w:t>
      </w:r>
      <w:r>
        <w:t>and</w:t>
      </w:r>
      <w:r w:rsidRPr="00C21BD4">
        <w:t xml:space="preserve"> </w:t>
      </w:r>
      <w:r>
        <w:t>divergences</w:t>
      </w:r>
      <w:r w:rsidRPr="00C21BD4">
        <w:t xml:space="preserve"> </w:t>
      </w:r>
      <w:r>
        <w:t>the</w:t>
      </w:r>
      <w:r w:rsidRPr="00C21BD4">
        <w:t xml:space="preserve"> </w:t>
      </w:r>
      <w:r>
        <w:t>shared</w:t>
      </w:r>
      <w:r w:rsidRPr="00C21BD4">
        <w:t xml:space="preserve"> </w:t>
      </w:r>
      <w:r>
        <w:t>public</w:t>
      </w:r>
      <w:r w:rsidRPr="00C21BD4">
        <w:t xml:space="preserve"> </w:t>
      </w:r>
      <w:r>
        <w:t>meaning</w:t>
      </w:r>
      <w:r w:rsidRPr="00C21BD4">
        <w:t xml:space="preserve"> </w:t>
      </w:r>
      <w:r>
        <w:t>emerged.</w:t>
      </w:r>
      <w:r w:rsidR="007430FE" w:rsidRPr="007430FE">
        <w:t xml:space="preserve"> </w:t>
      </w:r>
      <w:r w:rsidR="007430FE">
        <w:t xml:space="preserve">The citizen-subject is subjected to the oral communication of shared reasoned ideas (logos refers to both reasoning and oral speech in Greek). </w:t>
      </w:r>
      <w:r w:rsidR="00F01AE0">
        <w:t xml:space="preserve">Nevertheless, </w:t>
      </w:r>
      <w:r w:rsidR="007430FE">
        <w:t xml:space="preserve">within this strong sense of </w:t>
      </w:r>
      <w:r w:rsidR="007430FE" w:rsidRPr="00EE5C01">
        <w:t>belonging and the pursuit of a commonly shared reality</w:t>
      </w:r>
      <w:r w:rsidR="00544F62">
        <w:t xml:space="preserve"> (</w:t>
      </w:r>
      <w:proofErr w:type="spellStart"/>
      <w:r w:rsidR="00544F62">
        <w:t>cf</w:t>
      </w:r>
      <w:proofErr w:type="spellEnd"/>
      <w:r w:rsidR="00544F62">
        <w:t xml:space="preserve"> storytelling; Arendt, 1958)</w:t>
      </w:r>
      <w:r w:rsidR="007430FE" w:rsidRPr="00EE5C01">
        <w:t>, the personal identity was not lost</w:t>
      </w:r>
      <w:r w:rsidR="00F01AE0" w:rsidRPr="00EE5C01">
        <w:t xml:space="preserve"> (</w:t>
      </w:r>
      <w:proofErr w:type="spellStart"/>
      <w:r w:rsidR="00F01AE0" w:rsidRPr="00EE5C01">
        <w:t>Vernant</w:t>
      </w:r>
      <w:proofErr w:type="spellEnd"/>
      <w:r w:rsidR="00F01AE0" w:rsidRPr="00EE5C01">
        <w:t xml:space="preserve">, 1983) as the self becomes a multiplicity of higher mental internalised </w:t>
      </w:r>
      <w:r w:rsidR="00F01AE0" w:rsidRPr="00EE5C01">
        <w:rPr>
          <w:lang w:val="en-US"/>
        </w:rPr>
        <w:t>social</w:t>
      </w:r>
      <w:r w:rsidR="00F01AE0" w:rsidRPr="00EE5C01">
        <w:t xml:space="preserve"> </w:t>
      </w:r>
      <w:r w:rsidR="00F01AE0" w:rsidRPr="00EE5C01">
        <w:rPr>
          <w:lang w:val="en-US"/>
        </w:rPr>
        <w:t>relationships</w:t>
      </w:r>
      <w:r w:rsidR="007430FE" w:rsidRPr="00EE5C01">
        <w:t>.</w:t>
      </w:r>
      <w:r w:rsidR="001322CE">
        <w:t xml:space="preserve"> </w:t>
      </w:r>
      <w:r w:rsidR="001322CE" w:rsidRPr="00CF213E">
        <w:t xml:space="preserve">Vygotsky (1978) notes that </w:t>
      </w:r>
      <w:r w:rsidR="001322CE">
        <w:t>the external</w:t>
      </w:r>
      <w:r w:rsidR="001322CE" w:rsidRPr="00CF213E">
        <w:t xml:space="preserve"> social processes </w:t>
      </w:r>
      <w:r w:rsidR="001322CE">
        <w:t xml:space="preserve">are closely linked with the </w:t>
      </w:r>
      <w:r w:rsidR="001322CE" w:rsidRPr="00CF213E">
        <w:t xml:space="preserve">internal psychological processes </w:t>
      </w:r>
      <w:r w:rsidR="001322CE">
        <w:t xml:space="preserve">so </w:t>
      </w:r>
      <w:r w:rsidR="001322CE" w:rsidRPr="00CF213E">
        <w:rPr>
          <w:lang w:val="en-US"/>
        </w:rPr>
        <w:t>that in “their own private sphere, human beings retain the functions of social interaction”</w:t>
      </w:r>
      <w:r w:rsidR="001322CE">
        <w:t xml:space="preserve"> (p. 164). Thus, the argument became a dominant social instrument.</w:t>
      </w:r>
    </w:p>
    <w:p w:rsidR="002A1285" w:rsidRDefault="00014309" w:rsidP="002A1285">
      <w:r>
        <w:lastRenderedPageBreak/>
        <w:t>Cleisthenes’ changes towards the equality of the citizens within the public affairs allowed the transcendental notion of power to obtain an anthropological character: the num</w:t>
      </w:r>
      <w:r w:rsidR="00943C0E">
        <w:t>erical majority was right, true and</w:t>
      </w:r>
      <w:r>
        <w:t xml:space="preserve"> responsible and the minority had to accept it. </w:t>
      </w:r>
      <w:r w:rsidR="00916914">
        <w:t xml:space="preserve">The ruling power was not divinely-given, nor inherited, but lied within the </w:t>
      </w:r>
      <w:r w:rsidR="00B333C7">
        <w:t xml:space="preserve">countable </w:t>
      </w:r>
      <w:r w:rsidR="00916914">
        <w:t>community. The shared logos, the thesis voted by the citizens was within the reach of every citizen-subject</w:t>
      </w:r>
      <w:r w:rsidR="00756BD4" w:rsidRPr="3DB5D28C">
        <w:t>,</w:t>
      </w:r>
      <w:r w:rsidR="00916914">
        <w:t xml:space="preserve"> as long as it was </w:t>
      </w:r>
      <w:r w:rsidR="00B333C7">
        <w:t>accepted as such</w:t>
      </w:r>
      <w:r w:rsidR="00916914">
        <w:t xml:space="preserve"> by the majority. </w:t>
      </w:r>
      <w:r w:rsidR="00B333C7">
        <w:t>This conceptual lift from the subjectively described to the objectively defined by a simple number, by a numerical relationship</w:t>
      </w:r>
      <w:r w:rsidR="00756BD4" w:rsidRPr="3DB5D28C">
        <w:t>,</w:t>
      </w:r>
      <w:r w:rsidR="00B333C7">
        <w:t xml:space="preserve"> allowed for the city itself to </w:t>
      </w:r>
      <w:r w:rsidR="002578B3">
        <w:t>obtain a transcendental aspect, to exist</w:t>
      </w:r>
      <w:r w:rsidR="00B333C7">
        <w:t xml:space="preserve"> regardless of who were its citizens. Its infrastructure transcended the people who represented it. In this w</w:t>
      </w:r>
      <w:r w:rsidR="00133BC4">
        <w:t xml:space="preserve">ay, the polis achieved its </w:t>
      </w:r>
      <w:proofErr w:type="spellStart"/>
      <w:r w:rsidR="00133BC4">
        <w:t>supra</w:t>
      </w:r>
      <w:r w:rsidR="00B333C7">
        <w:t>temporal</w:t>
      </w:r>
      <w:proofErr w:type="spellEnd"/>
      <w:r w:rsidR="00B333C7">
        <w:t xml:space="preserve"> continuity. Thus, the subject was at the same time unique and the same, one and many, important and insignificant. </w:t>
      </w:r>
      <w:r w:rsidR="00B333C7" w:rsidRPr="05EC0165">
        <w:t xml:space="preserve">Heraclitus stressed that “although </w:t>
      </w:r>
      <w:r w:rsidR="00B333C7" w:rsidRPr="3DB5D28C">
        <w:rPr>
          <w:i/>
          <w:iCs/>
        </w:rPr>
        <w:t>logos</w:t>
      </w:r>
      <w:r w:rsidR="00B333C7" w:rsidRPr="05EC0165">
        <w:t xml:space="preserve"> is common to all, most people live as if they had a wisdom of their own” and that </w:t>
      </w:r>
      <w:r w:rsidR="00D862D2" w:rsidRPr="05EC0165">
        <w:t xml:space="preserve">“having listened not to </w:t>
      </w:r>
      <w:bookmarkStart w:id="0" w:name="_GoBack"/>
      <w:bookmarkEnd w:id="0"/>
      <w:r w:rsidR="00D862D2" w:rsidRPr="05EC0165">
        <w:t>me but to the logos it is wise to agree that one is all”. It should be clarified that Her</w:t>
      </w:r>
      <w:r w:rsidR="000870F6" w:rsidRPr="05EC0165">
        <w:t xml:space="preserve">aclitus wording for ‘agree’ is </w:t>
      </w:r>
      <w:r w:rsidR="0015571E" w:rsidRPr="3DB5D28C">
        <w:rPr>
          <w:i/>
          <w:iCs/>
        </w:rPr>
        <w:t>h</w:t>
      </w:r>
      <w:r w:rsidR="000870F6" w:rsidRPr="3DB5D28C">
        <w:rPr>
          <w:i/>
          <w:iCs/>
        </w:rPr>
        <w:t>omo-logo</w:t>
      </w:r>
      <w:r w:rsidR="0015571E" w:rsidRPr="3DB5D28C">
        <w:t xml:space="preserve"> </w:t>
      </w:r>
      <w:r w:rsidR="000870F6" w:rsidRPr="05EC0165">
        <w:t>(common</w:t>
      </w:r>
      <w:r w:rsidR="0015571E" w:rsidRPr="05EC0165">
        <w:t xml:space="preserve"> logos</w:t>
      </w:r>
      <w:r w:rsidR="000870F6" w:rsidRPr="3DB5D28C">
        <w:t>)</w:t>
      </w:r>
      <w:r w:rsidR="0015571E" w:rsidRPr="05EC0165">
        <w:t xml:space="preserve">, indicating that agreement is a result of a shared logos. Hence, </w:t>
      </w:r>
      <w:proofErr w:type="gramStart"/>
      <w:r w:rsidR="0015571E" w:rsidRPr="05EC0165">
        <w:t>common logos implies</w:t>
      </w:r>
      <w:proofErr w:type="gramEnd"/>
      <w:r w:rsidR="0015571E" w:rsidRPr="05EC0165">
        <w:t xml:space="preserve"> all private understandings and </w:t>
      </w:r>
      <w:proofErr w:type="spellStart"/>
      <w:r w:rsidR="0015571E" w:rsidRPr="05EC0165">
        <w:t>reasonings</w:t>
      </w:r>
      <w:proofErr w:type="spellEnd"/>
      <w:r w:rsidR="0015571E" w:rsidRPr="05EC0165">
        <w:t xml:space="preserve"> are in agreement with (</w:t>
      </w:r>
      <w:r w:rsidR="0015571E" w:rsidRPr="3DB5D28C">
        <w:rPr>
          <w:i/>
          <w:iCs/>
        </w:rPr>
        <w:t>homo-logia</w:t>
      </w:r>
      <w:r w:rsidR="0015571E" w:rsidRPr="3DB5D28C">
        <w:t>)</w:t>
      </w:r>
      <w:r w:rsidR="0015571E" w:rsidRPr="05EC0165">
        <w:t>, in a relationship with</w:t>
      </w:r>
      <w:r w:rsidR="000870F6" w:rsidRPr="3DB5D28C">
        <w:t>,</w:t>
      </w:r>
      <w:r w:rsidR="0015571E" w:rsidRPr="05EC0165">
        <w:t xml:space="preserve"> the public </w:t>
      </w:r>
      <w:r w:rsidR="0015571E" w:rsidRPr="3DB5D28C">
        <w:rPr>
          <w:i/>
          <w:iCs/>
        </w:rPr>
        <w:t>logos</w:t>
      </w:r>
      <w:r w:rsidR="0015571E" w:rsidRPr="3DB5D28C">
        <w:t>.</w:t>
      </w:r>
    </w:p>
    <w:p w:rsidR="002E2CCC" w:rsidRDefault="00EF322B" w:rsidP="002E2CCC">
      <w:r>
        <w:t>Moreover</w:t>
      </w:r>
      <w:r w:rsidR="00440A7C">
        <w:t>, the role of the market</w:t>
      </w:r>
      <w:r w:rsidR="001E7938">
        <w:t xml:space="preserve">, the radical expansion of the Greek commerce </w:t>
      </w:r>
      <w:r w:rsidR="00440A7C">
        <w:t>seem to contribute in the formation of the citizen</w:t>
      </w:r>
      <w:r w:rsidR="003D4DDD">
        <w:t xml:space="preserve"> and the polis</w:t>
      </w:r>
      <w:r w:rsidR="006F3FBE">
        <w:t>, further questioning the remains of the traditional reign of bloodline and the connecting power of phyla, establishing the newly founded monetary power as a crucial constituting factor of the polis</w:t>
      </w:r>
      <w:r w:rsidR="00440A7C">
        <w:t xml:space="preserve">. </w:t>
      </w:r>
      <w:r w:rsidR="006F3FBE">
        <w:t xml:space="preserve">Importantly, closely related with this transformation, the self for the first time in history </w:t>
      </w:r>
      <w:r w:rsidR="006F3FBE" w:rsidRPr="00AF07FA">
        <w:rPr>
          <w:i/>
        </w:rPr>
        <w:t xml:space="preserve">the </w:t>
      </w:r>
      <w:r w:rsidR="00CB5FC1" w:rsidRPr="00AF07FA">
        <w:rPr>
          <w:i/>
        </w:rPr>
        <w:t>category of the</w:t>
      </w:r>
      <w:r w:rsidR="00CB5FC1">
        <w:t xml:space="preserve"> </w:t>
      </w:r>
      <w:r w:rsidR="006F3FBE" w:rsidRPr="006F3FBE">
        <w:rPr>
          <w:i/>
        </w:rPr>
        <w:t>ego is socio-psychologically constructed</w:t>
      </w:r>
      <w:r w:rsidR="00923007">
        <w:t xml:space="preserve"> (</w:t>
      </w:r>
      <w:proofErr w:type="spellStart"/>
      <w:r w:rsidR="00923007">
        <w:t>Vernant</w:t>
      </w:r>
      <w:proofErr w:type="spellEnd"/>
      <w:r w:rsidR="00923007">
        <w:t>, 1983)</w:t>
      </w:r>
      <w:r w:rsidR="006F3FBE">
        <w:t xml:space="preserve">. </w:t>
      </w:r>
      <w:r w:rsidR="002E2CCC">
        <w:t xml:space="preserve">The </w:t>
      </w:r>
      <w:r w:rsidR="003D4DDD">
        <w:t>emergence</w:t>
      </w:r>
      <w:r w:rsidR="002E2CCC">
        <w:t xml:space="preserve"> of the private property </w:t>
      </w:r>
      <w:r w:rsidR="002E2CCC" w:rsidRPr="004B3C5E">
        <w:t>may</w:t>
      </w:r>
      <w:r w:rsidR="002E2CCC">
        <w:t xml:space="preserve"> appear to be crucial in the individuals’ freeing themselves from, for example, the family bonds thus identifying them as </w:t>
      </w:r>
      <w:r w:rsidR="00E31590">
        <w:t>independen</w:t>
      </w:r>
      <w:r>
        <w:t>tly existing egos</w:t>
      </w:r>
      <w:r w:rsidR="006F3FBE">
        <w:t xml:space="preserve">, but </w:t>
      </w:r>
      <w:proofErr w:type="spellStart"/>
      <w:r w:rsidR="001E7938" w:rsidRPr="003576D3">
        <w:t>Godelier</w:t>
      </w:r>
      <w:proofErr w:type="spellEnd"/>
      <w:r w:rsidR="001E7938" w:rsidRPr="003576D3">
        <w:t xml:space="preserve"> (</w:t>
      </w:r>
      <w:r w:rsidR="003576D3">
        <w:t>1969</w:t>
      </w:r>
      <w:r w:rsidR="001E7938" w:rsidRPr="003576D3">
        <w:t>)</w:t>
      </w:r>
      <w:r w:rsidR="006F3FBE" w:rsidRPr="003576D3">
        <w:t xml:space="preserve"> stress</w:t>
      </w:r>
      <w:r w:rsidR="006F3FBE">
        <w:t>es</w:t>
      </w:r>
      <w:r w:rsidR="001E7938">
        <w:t xml:space="preserve"> that </w:t>
      </w:r>
      <w:r w:rsidR="002E2CCC">
        <w:t xml:space="preserve">the private property does not suffice on its own for </w:t>
      </w:r>
      <w:r w:rsidR="00E31590">
        <w:t xml:space="preserve">the socio-psychological construction of category of the ego </w:t>
      </w:r>
      <w:r w:rsidR="002E2CCC">
        <w:t xml:space="preserve">to occur. He contrasted the so-called ‘Asiatic Mode of Production’ and the existence of private property in China and Vietnam, thus emphasising that private property should be combined with </w:t>
      </w:r>
      <w:r w:rsidR="003D4DDD">
        <w:t xml:space="preserve">commercial </w:t>
      </w:r>
      <w:r w:rsidR="002E2CCC">
        <w:t>production</w:t>
      </w:r>
      <w:r w:rsidR="003D4DDD">
        <w:t xml:space="preserve"> in order for the </w:t>
      </w:r>
      <w:r w:rsidR="00E31590">
        <w:t>ego to be constructed</w:t>
      </w:r>
      <w:r w:rsidR="003D4DDD">
        <w:t xml:space="preserve">. </w:t>
      </w:r>
    </w:p>
    <w:p w:rsidR="004B3C5E" w:rsidRPr="002E2CCC" w:rsidRDefault="004B3C5E" w:rsidP="002E2CCC"/>
    <w:p w:rsidR="001322CE" w:rsidRDefault="001322CE" w:rsidP="00AF07FA">
      <w:pPr>
        <w:keepNext/>
        <w:ind w:hanging="11"/>
        <w:outlineLvl w:val="2"/>
      </w:pPr>
      <w:r>
        <w:rPr>
          <w:b/>
        </w:rPr>
        <w:t>Diachronic</w:t>
      </w:r>
      <w:r w:rsidR="00544F62">
        <w:rPr>
          <w:b/>
        </w:rPr>
        <w:t xml:space="preserve"> journeys to proof: a synthesis</w:t>
      </w:r>
    </w:p>
    <w:p w:rsidR="00B90700" w:rsidRDefault="0015571E" w:rsidP="00CF213E">
      <w:pPr>
        <w:rPr>
          <w:iCs/>
        </w:rPr>
      </w:pPr>
      <w:r>
        <w:rPr>
          <w:iCs/>
        </w:rPr>
        <w:t>Within this sociocultural framework</w:t>
      </w:r>
      <w:r w:rsidR="00756BD4">
        <w:rPr>
          <w:iCs/>
        </w:rPr>
        <w:t>,</w:t>
      </w:r>
      <w:r>
        <w:rPr>
          <w:iCs/>
        </w:rPr>
        <w:t xml:space="preserve"> the requirement of producing a proof fo</w:t>
      </w:r>
      <w:r w:rsidR="0005432B">
        <w:rPr>
          <w:iCs/>
        </w:rPr>
        <w:t>r a mathematical statement seemed</w:t>
      </w:r>
      <w:r>
        <w:rPr>
          <w:iCs/>
        </w:rPr>
        <w:t xml:space="preserve"> to </w:t>
      </w:r>
      <w:r w:rsidR="0005432B">
        <w:rPr>
          <w:iCs/>
        </w:rPr>
        <w:t>naturally fit in</w:t>
      </w:r>
      <w:r>
        <w:rPr>
          <w:iCs/>
        </w:rPr>
        <w:t xml:space="preserve">. The mathematical community </w:t>
      </w:r>
      <w:r w:rsidR="0005432B">
        <w:rPr>
          <w:iCs/>
        </w:rPr>
        <w:t>as part of</w:t>
      </w:r>
      <w:r w:rsidR="00947368">
        <w:rPr>
          <w:iCs/>
        </w:rPr>
        <w:t xml:space="preserve"> the general community requires</w:t>
      </w:r>
      <w:r>
        <w:rPr>
          <w:iCs/>
        </w:rPr>
        <w:t xml:space="preserve"> argument</w:t>
      </w:r>
      <w:r w:rsidR="00947368">
        <w:rPr>
          <w:iCs/>
        </w:rPr>
        <w:t>s</w:t>
      </w:r>
      <w:r w:rsidR="0005432B">
        <w:rPr>
          <w:iCs/>
        </w:rPr>
        <w:t xml:space="preserve"> </w:t>
      </w:r>
      <w:r>
        <w:rPr>
          <w:iCs/>
        </w:rPr>
        <w:t xml:space="preserve">that cannot be logically disputed. </w:t>
      </w:r>
      <w:r w:rsidR="002A1285">
        <w:rPr>
          <w:iCs/>
        </w:rPr>
        <w:t>S</w:t>
      </w:r>
      <w:r w:rsidR="0005432B">
        <w:rPr>
          <w:iCs/>
        </w:rPr>
        <w:t xml:space="preserve">uch an argument could not be based on perception, which was philosophically treated at the time as false, changeable or unreliable. Nor could it be based on authority or affective linguistic tricks. </w:t>
      </w:r>
      <w:r w:rsidR="00402250" w:rsidRPr="00402250">
        <w:rPr>
          <w:iCs/>
        </w:rPr>
        <w:t>The S</w:t>
      </w:r>
      <w:r w:rsidR="005C6CA1" w:rsidRPr="00402250">
        <w:rPr>
          <w:iCs/>
        </w:rPr>
        <w:t xml:space="preserve">ophists, the </w:t>
      </w:r>
      <w:proofErr w:type="spellStart"/>
      <w:r w:rsidR="005C6CA1" w:rsidRPr="00402250">
        <w:rPr>
          <w:iCs/>
        </w:rPr>
        <w:t>Eleates</w:t>
      </w:r>
      <w:proofErr w:type="spellEnd"/>
      <w:r w:rsidR="005C6CA1" w:rsidRPr="00402250">
        <w:rPr>
          <w:iCs/>
        </w:rPr>
        <w:t xml:space="preserve"> (</w:t>
      </w:r>
      <w:r w:rsidR="005C6CA1">
        <w:rPr>
          <w:iCs/>
        </w:rPr>
        <w:t>notably Zeno)</w:t>
      </w:r>
      <w:r w:rsidR="002A1285">
        <w:rPr>
          <w:iCs/>
        </w:rPr>
        <w:t xml:space="preserve"> and the philosophy of Plato and Aristotle crucially determined Euclid’s decision to </w:t>
      </w:r>
      <w:r w:rsidR="002A1285">
        <w:rPr>
          <w:iCs/>
        </w:rPr>
        <w:lastRenderedPageBreak/>
        <w:t>organise old and new mathematical ideas in a deductive structure, within which each proposition derives from already proved or accepted as true ideas.</w:t>
      </w:r>
    </w:p>
    <w:p w:rsidR="00D93660" w:rsidRPr="003D4DDD" w:rsidRDefault="002A1285" w:rsidP="00D93660">
      <w:r w:rsidRPr="0348BF5E">
        <w:t xml:space="preserve">Moreover, within a social framework that only the public is appreciated and the private is frowned upon, mathematical ideas had to be open to the community and </w:t>
      </w:r>
      <w:r w:rsidR="000870F6" w:rsidRPr="0348BF5E">
        <w:t xml:space="preserve">not to be </w:t>
      </w:r>
      <w:r w:rsidRPr="0348BF5E">
        <w:t xml:space="preserve">only for a certain social cast </w:t>
      </w:r>
      <w:r w:rsidR="000870F6" w:rsidRPr="0348BF5E">
        <w:t>(</w:t>
      </w:r>
      <w:r w:rsidRPr="0348BF5E">
        <w:t>the clergy or other</w:t>
      </w:r>
      <w:r w:rsidR="000870F6" w:rsidRPr="0348BF5E">
        <w:t>)</w:t>
      </w:r>
      <w:r w:rsidRPr="0348BF5E">
        <w:t xml:space="preserve">. </w:t>
      </w:r>
      <w:r w:rsidR="00B90700" w:rsidRPr="0348BF5E">
        <w:t>T</w:t>
      </w:r>
      <w:r w:rsidR="00AF5474" w:rsidRPr="0348BF5E">
        <w:t xml:space="preserve">his required resorting to commonly lived experiences, which were inescapably bodily </w:t>
      </w:r>
      <w:proofErr w:type="gramStart"/>
      <w:r w:rsidR="00AF5474" w:rsidRPr="0348BF5E">
        <w:t>experiences</w:t>
      </w:r>
      <w:proofErr w:type="gramEnd"/>
      <w:r w:rsidR="00AF5474" w:rsidRPr="0348BF5E">
        <w:t xml:space="preserve"> masked as </w:t>
      </w:r>
      <w:r w:rsidR="002D08FA" w:rsidRPr="0348BF5E">
        <w:t>‘</w:t>
      </w:r>
      <w:r w:rsidR="00AF5474" w:rsidRPr="0348BF5E">
        <w:t>semi-abstract</w:t>
      </w:r>
      <w:r w:rsidR="002D08FA" w:rsidRPr="0348BF5E">
        <w:t>’</w:t>
      </w:r>
      <w:r w:rsidR="00AF5474" w:rsidRPr="0348BF5E">
        <w:t xml:space="preserve"> ideas. This is </w:t>
      </w:r>
      <w:r w:rsidR="00BB111B" w:rsidRPr="0348BF5E">
        <w:t xml:space="preserve">reflected in </w:t>
      </w:r>
      <w:r w:rsidR="000870F6" w:rsidRPr="0348BF5E">
        <w:t xml:space="preserve">the </w:t>
      </w:r>
      <w:r w:rsidR="002D08FA" w:rsidRPr="0348BF5E">
        <w:t>‘</w:t>
      </w:r>
      <w:r w:rsidR="00AF5474" w:rsidRPr="0348BF5E">
        <w:t>axiomatic</w:t>
      </w:r>
      <w:r w:rsidR="00320E04">
        <w:t>-type</w:t>
      </w:r>
      <w:r w:rsidR="002D08FA" w:rsidRPr="0348BF5E">
        <w:t>’</w:t>
      </w:r>
      <w:r w:rsidR="00AF5474" w:rsidRPr="0348BF5E">
        <w:t xml:space="preserve"> </w:t>
      </w:r>
      <w:r w:rsidR="00BB111B" w:rsidRPr="0348BF5E">
        <w:t>character of Euclid’s elements</w:t>
      </w:r>
      <w:r w:rsidR="00320E04">
        <w:t xml:space="preserve"> </w:t>
      </w:r>
      <w:r w:rsidR="00320E04" w:rsidRPr="00D71075">
        <w:t>(in the sense that the axiomatic method was introduced, but the Elements hardly constitute a</w:t>
      </w:r>
      <w:r w:rsidR="00D71075" w:rsidRPr="00D71075">
        <w:t>n</w:t>
      </w:r>
      <w:r w:rsidR="00320E04" w:rsidRPr="00D71075">
        <w:t xml:space="preserve"> axiomatic system in the contemporary mathematical sense of the word)</w:t>
      </w:r>
      <w:r w:rsidR="00BB111B" w:rsidRPr="00D71075">
        <w:t>. T</w:t>
      </w:r>
      <w:r w:rsidR="00AF5474" w:rsidRPr="00D71075">
        <w:t>he definitions</w:t>
      </w:r>
      <w:r w:rsidR="00AF5474" w:rsidRPr="0348BF5E">
        <w:t xml:space="preserve">, the common ideas, the axioms </w:t>
      </w:r>
      <w:r w:rsidR="00BB111B" w:rsidRPr="0348BF5E">
        <w:t xml:space="preserve">derived from the </w:t>
      </w:r>
      <w:r w:rsidR="00AF5474" w:rsidRPr="0348BF5E">
        <w:t xml:space="preserve">shared lived </w:t>
      </w:r>
      <w:r w:rsidR="00BB111B" w:rsidRPr="0348BF5E">
        <w:t xml:space="preserve">perceptual reality, which, on the one hand, </w:t>
      </w:r>
      <w:r w:rsidR="00AF5474" w:rsidRPr="0348BF5E">
        <w:t xml:space="preserve">ensures the wider acceptance of the logos that draws upon such a structure, but, one the other hand, </w:t>
      </w:r>
      <w:r w:rsidR="001D70E6" w:rsidRPr="0348BF5E">
        <w:t>clearly limits the breadth</w:t>
      </w:r>
      <w:r w:rsidR="00BB111B" w:rsidRPr="0348BF5E">
        <w:t xml:space="preserve"> and depth</w:t>
      </w:r>
      <w:r w:rsidR="001D70E6" w:rsidRPr="0348BF5E">
        <w:t xml:space="preserve"> of the </w:t>
      </w:r>
      <w:r w:rsidR="00BC658D" w:rsidRPr="0348BF5E">
        <w:t xml:space="preserve">mathematical </w:t>
      </w:r>
      <w:r w:rsidR="001D70E6" w:rsidRPr="0348BF5E">
        <w:t>structure.</w:t>
      </w:r>
      <w:r w:rsidR="00B90700" w:rsidRPr="0348BF5E">
        <w:t xml:space="preserve"> Nevertheless, Euclid’s organisation enabled the synthesis of seemingly unrelated ideas, deriving f</w:t>
      </w:r>
      <w:r w:rsidR="005C6CA1" w:rsidRPr="0348BF5E">
        <w:t>rom the same underlying ideas an</w:t>
      </w:r>
      <w:r w:rsidR="00B90700" w:rsidRPr="0348BF5E">
        <w:t xml:space="preserve">d reasoning (for example, the study of incommensurable magnitudes and the irrational numbers). </w:t>
      </w:r>
      <w:r w:rsidR="00D93660" w:rsidRPr="00FE1F27">
        <w:t xml:space="preserve">Common perceptually derived notions, objectified reasoning and quantified qualitative relationships may have been some of the elements that lead to the objectification of the mathematical argument through the notion of proof. It required many centuries before it reached its </w:t>
      </w:r>
      <w:proofErr w:type="spellStart"/>
      <w:r w:rsidR="00D93660" w:rsidRPr="00FE1F27">
        <w:t>Husserlian</w:t>
      </w:r>
      <w:proofErr w:type="spellEnd"/>
      <w:r w:rsidR="00D93660" w:rsidRPr="00FE1F27">
        <w:t xml:space="preserve"> ideal form, by challenging the a priori perceptually derived necessities within which geometrical ideas were built, thus allowing for the mathematical ideas to be constructed within whichever framework the mind chooses: axiomatic logically reigned worlds of infinite possibilities and choices. This allowed for mathematical counter-intuitive objects (such as the </w:t>
      </w:r>
      <w:proofErr w:type="spellStart"/>
      <w:r w:rsidR="00D93660" w:rsidRPr="00FE1F27">
        <w:t>Weierstrass</w:t>
      </w:r>
      <w:proofErr w:type="spellEnd"/>
      <w:r w:rsidR="00D93660" w:rsidRPr="00FE1F27">
        <w:t xml:space="preserve"> function) to be constructed/defined and their inescapable (within the chosen </w:t>
      </w:r>
      <w:r w:rsidR="00D93660" w:rsidRPr="003D4DDD">
        <w:t>framework) consequences could be revealed through an anthropologically objective proof that transcends both the human bodily experience and its idealised extensions.</w:t>
      </w:r>
    </w:p>
    <w:p w:rsidR="006F324C" w:rsidRPr="003D4DDD" w:rsidRDefault="00D93660" w:rsidP="00B90700">
      <w:r w:rsidRPr="003D4DDD">
        <w:rPr>
          <w:lang w:val="en-US"/>
        </w:rPr>
        <w:t xml:space="preserve">In this </w:t>
      </w:r>
      <w:r w:rsidRPr="003D4DDD">
        <w:t xml:space="preserve">conceptual extension of the perceived reality, the logos and the argument are the only means for establishing the truth of a proposition. </w:t>
      </w:r>
      <w:r w:rsidR="00B90700" w:rsidRPr="003D4DDD">
        <w:t xml:space="preserve">Though </w:t>
      </w:r>
      <w:proofErr w:type="spellStart"/>
      <w:r w:rsidR="00B90700" w:rsidRPr="003D4DDD">
        <w:t>Szabó</w:t>
      </w:r>
      <w:proofErr w:type="spellEnd"/>
      <w:r w:rsidR="00B90700" w:rsidRPr="003D4DDD">
        <w:t xml:space="preserve"> (1978) claims the notion of deductive proof did not meet any practical ne</w:t>
      </w:r>
      <w:r w:rsidR="00FE1F27" w:rsidRPr="003D4DDD">
        <w:t>eds</w:t>
      </w:r>
      <w:r w:rsidR="006F324C" w:rsidRPr="003D4DDD">
        <w:t>, but autonomous conceptual needs of a transcendental nature driven by the necessity of finding a shared reasoning.</w:t>
      </w:r>
      <w:r w:rsidR="00FE1F27" w:rsidRPr="003D4DDD">
        <w:t xml:space="preserve"> Nevertheless, we argue that it met the needs of the broader ancient Greek sociocultural </w:t>
      </w:r>
      <w:r w:rsidR="00FE1F27" w:rsidRPr="00D71075">
        <w:t>context</w:t>
      </w:r>
      <w:r w:rsidR="00923007" w:rsidRPr="00D71075">
        <w:t xml:space="preserve"> </w:t>
      </w:r>
      <w:r w:rsidR="00320E04" w:rsidRPr="00D71075">
        <w:t>(</w:t>
      </w:r>
      <w:proofErr w:type="spellStart"/>
      <w:r w:rsidR="00923007" w:rsidRPr="00D71075">
        <w:t>cf</w:t>
      </w:r>
      <w:proofErr w:type="spellEnd"/>
      <w:r w:rsidR="00D71075" w:rsidRPr="00D71075">
        <w:t xml:space="preserve"> </w:t>
      </w:r>
      <w:r w:rsidR="00320E04" w:rsidRPr="00D71075">
        <w:t>Arendt, 1961)</w:t>
      </w:r>
      <w:proofErr w:type="gramStart"/>
      <w:r w:rsidR="00FE1F27" w:rsidRPr="00D71075">
        <w:t>,</w:t>
      </w:r>
      <w:proofErr w:type="gramEnd"/>
      <w:r w:rsidR="00FE1F27" w:rsidRPr="003D4DDD">
        <w:t xml:space="preserve"> the everyday lived and acted practices, when transposed in the abstract-like Euclidean world</w:t>
      </w:r>
      <w:r w:rsidR="003D4DDD">
        <w:t xml:space="preserve">. </w:t>
      </w:r>
    </w:p>
    <w:p w:rsidR="00263B10" w:rsidRPr="00D71075" w:rsidRDefault="00303FC9" w:rsidP="004B3C5E">
      <w:r>
        <w:t xml:space="preserve">Echoing </w:t>
      </w:r>
      <w:proofErr w:type="spellStart"/>
      <w:r w:rsidR="00CF213E" w:rsidRPr="003D4DDD">
        <w:t>Vernant</w:t>
      </w:r>
      <w:proofErr w:type="spellEnd"/>
      <w:r w:rsidR="00CF213E" w:rsidRPr="003D4DDD">
        <w:t xml:space="preserve"> (1975)</w:t>
      </w:r>
      <w:r>
        <w:t>, we argue</w:t>
      </w:r>
      <w:r w:rsidR="00AF5474" w:rsidRPr="003D4DDD">
        <w:t xml:space="preserve"> that </w:t>
      </w:r>
      <w:r w:rsidR="00CF213E" w:rsidRPr="003D4DDD">
        <w:t xml:space="preserve">the formation of the </w:t>
      </w:r>
      <w:r w:rsidR="00CF213E" w:rsidRPr="003D4DDD">
        <w:rPr>
          <w:i/>
          <w:iCs/>
        </w:rPr>
        <w:t xml:space="preserve">polis </w:t>
      </w:r>
      <w:r w:rsidR="00AF5474" w:rsidRPr="003D4DDD">
        <w:t>was the decisive event that allowed</w:t>
      </w:r>
      <w:r w:rsidR="00CF213E" w:rsidRPr="003D4DDD">
        <w:t xml:space="preserve"> </w:t>
      </w:r>
      <w:r w:rsidR="00AF5474" w:rsidRPr="003D4DDD">
        <w:t xml:space="preserve">the shared </w:t>
      </w:r>
      <w:r w:rsidR="00CF213E" w:rsidRPr="003D4DDD">
        <w:t xml:space="preserve">logos to </w:t>
      </w:r>
      <w:r w:rsidR="00C35709" w:rsidRPr="003D4DDD">
        <w:t xml:space="preserve">gradually become </w:t>
      </w:r>
      <w:r w:rsidR="00AF5474" w:rsidRPr="003D4DDD">
        <w:t>the backbone of the social structure</w:t>
      </w:r>
      <w:r w:rsidR="00C35709" w:rsidRPr="003D4DDD">
        <w:t>, the utmost measure of power, replacing bloodline or even economic status with the power to convince the majority of the citizens. Thus, the mat</w:t>
      </w:r>
      <w:r w:rsidR="00263B10">
        <w:t>ters of the common interest beca</w:t>
      </w:r>
      <w:r w:rsidR="00C35709" w:rsidRPr="003D4DDD">
        <w:t xml:space="preserve">me an issue to be debated and to be ruled by the rhetoric </w:t>
      </w:r>
      <w:r w:rsidR="00263B10">
        <w:t>of the speaker; it was not important who the arguer was, but what the argument wa</w:t>
      </w:r>
      <w:r w:rsidR="00C35709" w:rsidRPr="003D4DDD">
        <w:t>s</w:t>
      </w:r>
      <w:r w:rsidR="004B3C5E">
        <w:t>.</w:t>
      </w:r>
      <w:r>
        <w:t xml:space="preserve"> Moreover, w</w:t>
      </w:r>
      <w:r w:rsidRPr="003D4DDD">
        <w:t>e briefly discussed some of the factors that may have constituted this event</w:t>
      </w:r>
      <w:r>
        <w:t xml:space="preserve">: the </w:t>
      </w:r>
      <w:r w:rsidRPr="2B2765BC">
        <w:rPr>
          <w:i/>
          <w:iCs/>
        </w:rPr>
        <w:t>shared logos</w:t>
      </w:r>
      <w:r>
        <w:t xml:space="preserve">; a </w:t>
      </w:r>
      <w:r w:rsidRPr="2B2765BC">
        <w:rPr>
          <w:i/>
          <w:iCs/>
        </w:rPr>
        <w:t>purposefully arbitrary administrative structure</w:t>
      </w:r>
      <w:r>
        <w:t xml:space="preserve">; the </w:t>
      </w:r>
      <w:r w:rsidRPr="2B2765BC">
        <w:rPr>
          <w:i/>
          <w:iCs/>
        </w:rPr>
        <w:t xml:space="preserve">1/1 </w:t>
      </w:r>
      <w:r w:rsidRPr="2B2765BC">
        <w:rPr>
          <w:i/>
          <w:iCs/>
        </w:rPr>
        <w:lastRenderedPageBreak/>
        <w:t>citizen relationship</w:t>
      </w:r>
      <w:r>
        <w:t xml:space="preserve">; the </w:t>
      </w:r>
      <w:r w:rsidRPr="2B2765BC">
        <w:rPr>
          <w:i/>
          <w:iCs/>
        </w:rPr>
        <w:t>countable decisive power</w:t>
      </w:r>
      <w:r>
        <w:t xml:space="preserve">; the </w:t>
      </w:r>
      <w:r w:rsidRPr="2B2765BC">
        <w:rPr>
          <w:i/>
          <w:iCs/>
        </w:rPr>
        <w:t>convincing the majority</w:t>
      </w:r>
      <w:r>
        <w:t xml:space="preserve"> </w:t>
      </w:r>
      <w:r w:rsidRPr="2B2765BC">
        <w:rPr>
          <w:i/>
          <w:iCs/>
        </w:rPr>
        <w:t>verbal argument</w:t>
      </w:r>
      <w:r>
        <w:t xml:space="preserve">; the </w:t>
      </w:r>
      <w:r w:rsidRPr="00EE5C01">
        <w:rPr>
          <w:i/>
        </w:rPr>
        <w:t>individual through and within the common</w:t>
      </w:r>
      <w:r>
        <w:t xml:space="preserve">; the </w:t>
      </w:r>
      <w:r w:rsidRPr="2B2765BC">
        <w:rPr>
          <w:i/>
          <w:iCs/>
        </w:rPr>
        <w:t>reign of the public over the private</w:t>
      </w:r>
      <w:r>
        <w:t xml:space="preserve">; the </w:t>
      </w:r>
      <w:r w:rsidRPr="2B2765BC">
        <w:rPr>
          <w:i/>
          <w:iCs/>
        </w:rPr>
        <w:t>quantification of power</w:t>
      </w:r>
      <w:r>
        <w:t xml:space="preserve">; the </w:t>
      </w:r>
      <w:r w:rsidRPr="2B2765BC">
        <w:rPr>
          <w:i/>
          <w:iCs/>
        </w:rPr>
        <w:t>argument</w:t>
      </w:r>
      <w:r>
        <w:t xml:space="preserve"> </w:t>
      </w:r>
      <w:r w:rsidRPr="2B2765BC">
        <w:rPr>
          <w:i/>
          <w:iCs/>
        </w:rPr>
        <w:t>based on commonly experienced notions and ideas</w:t>
      </w:r>
      <w:r>
        <w:t xml:space="preserve">; the inescapable </w:t>
      </w:r>
      <w:r w:rsidRPr="2B2765BC">
        <w:rPr>
          <w:i/>
          <w:iCs/>
        </w:rPr>
        <w:t>reign of the deductive over the inductive within an axiomatic-like system</w:t>
      </w:r>
      <w:r>
        <w:rPr>
          <w:iCs/>
        </w:rPr>
        <w:t xml:space="preserve">; the </w:t>
      </w:r>
      <w:r w:rsidRPr="00263B10">
        <w:rPr>
          <w:i/>
          <w:iCs/>
        </w:rPr>
        <w:t>socio-psychological construction of the ego</w:t>
      </w:r>
      <w:r w:rsidR="00CB5FC1">
        <w:t xml:space="preserve">. </w:t>
      </w:r>
      <w:r w:rsidR="00263B10">
        <w:t>The polis arose as the result</w:t>
      </w:r>
      <w:r w:rsidR="004B3C5E">
        <w:t xml:space="preserve"> of long</w:t>
      </w:r>
      <w:r w:rsidR="00263B10">
        <w:t>,</w:t>
      </w:r>
      <w:r w:rsidR="004B3C5E">
        <w:t xml:space="preserve"> multi-levelled socio-cultural journeys that radically transformed the relationships amongst</w:t>
      </w:r>
      <w:r>
        <w:t>:</w:t>
      </w:r>
      <w:r w:rsidR="004B3C5E">
        <w:t xml:space="preserve"> the citizens of the polis</w:t>
      </w:r>
      <w:r>
        <w:t>;</w:t>
      </w:r>
      <w:r w:rsidR="004B3C5E">
        <w:t xml:space="preserve"> the citizens, the ‘family’</w:t>
      </w:r>
      <w:r>
        <w:t xml:space="preserve"> and the society;</w:t>
      </w:r>
      <w:r w:rsidR="004B3C5E">
        <w:t xml:space="preserve"> the private, the public and the divine</w:t>
      </w:r>
      <w:r>
        <w:t>;</w:t>
      </w:r>
      <w:r w:rsidR="004B3C5E">
        <w:t xml:space="preserve"> the argued logos, the </w:t>
      </w:r>
      <w:r>
        <w:t xml:space="preserve">arguer and the argued decision. </w:t>
      </w:r>
      <w:r w:rsidRPr="00D71075">
        <w:t xml:space="preserve">Within this transformed </w:t>
      </w:r>
      <w:r w:rsidR="00CB5FC1" w:rsidRPr="00D71075">
        <w:t xml:space="preserve">complex </w:t>
      </w:r>
      <w:r w:rsidRPr="00D71075">
        <w:t xml:space="preserve">nexus of the public and private spaces, </w:t>
      </w:r>
      <w:r w:rsidR="009C31F1" w:rsidRPr="00D71075">
        <w:t xml:space="preserve">within the emerging of the transcendental </w:t>
      </w:r>
      <w:proofErr w:type="spellStart"/>
      <w:r w:rsidR="009C31F1" w:rsidRPr="00D71075">
        <w:t>intersubjectivity</w:t>
      </w:r>
      <w:proofErr w:type="spellEnd"/>
      <w:r w:rsidR="009C31F1" w:rsidRPr="00D71075">
        <w:t xml:space="preserve">, </w:t>
      </w:r>
      <w:r w:rsidRPr="00D71075">
        <w:t xml:space="preserve">the </w:t>
      </w:r>
      <w:r w:rsidR="004B3C5E" w:rsidRPr="00D71075">
        <w:t>socio-psychological construction of the ego as a category</w:t>
      </w:r>
      <w:r w:rsidRPr="00D71075">
        <w:t xml:space="preserve"> allowed</w:t>
      </w:r>
      <w:r w:rsidR="004B3C5E" w:rsidRPr="00D71075">
        <w:t xml:space="preserve"> for the </w:t>
      </w:r>
      <w:r w:rsidR="00263B10" w:rsidRPr="00D71075">
        <w:t xml:space="preserve">possibility of the </w:t>
      </w:r>
      <w:r w:rsidR="004B3C5E" w:rsidRPr="00D71075">
        <w:t xml:space="preserve">transcendental </w:t>
      </w:r>
      <w:r w:rsidR="00263B10" w:rsidRPr="00D71075">
        <w:t xml:space="preserve">mathematical </w:t>
      </w:r>
      <w:r w:rsidR="004B3C5E" w:rsidRPr="00D71075">
        <w:t>argument</w:t>
      </w:r>
      <w:r w:rsidR="00CB5FC1" w:rsidRPr="00D71075">
        <w:t xml:space="preserve"> –</w:t>
      </w:r>
      <w:r w:rsidR="00263B10" w:rsidRPr="00D71075">
        <w:t>as objectified from a deductive proof</w:t>
      </w:r>
      <w:r w:rsidRPr="00D71075">
        <w:t xml:space="preserve"> within an axiomatic-type system</w:t>
      </w:r>
      <w:r w:rsidR="00CB5FC1" w:rsidRPr="00D71075">
        <w:t>–</w:t>
      </w:r>
      <w:r w:rsidRPr="00D71075">
        <w:t xml:space="preserve"> to arise as an internalised socially established </w:t>
      </w:r>
      <w:r w:rsidR="00CB5FC1" w:rsidRPr="00D71075">
        <w:t>necessity</w:t>
      </w:r>
      <w:r w:rsidR="00D71075">
        <w:t>.</w:t>
      </w:r>
    </w:p>
    <w:p w:rsidR="007C4435" w:rsidRDefault="007C4435" w:rsidP="00CF213E"/>
    <w:p w:rsidR="006C3160" w:rsidRDefault="006C3160" w:rsidP="006C3160">
      <w:pPr>
        <w:pStyle w:val="Heading2"/>
      </w:pPr>
      <w:r>
        <w:t>Towards a didactical framework</w:t>
      </w:r>
    </w:p>
    <w:p w:rsidR="00A71D8F" w:rsidRDefault="00A71D8F" w:rsidP="00A71D8F">
      <w:r>
        <w:t xml:space="preserve">In what way can the aforementioned genesis of proof be read through a </w:t>
      </w:r>
      <w:proofErr w:type="spellStart"/>
      <w:r>
        <w:t>Husserlian</w:t>
      </w:r>
      <w:proofErr w:type="spellEnd"/>
      <w:r>
        <w:t xml:space="preserve"> perspective in order to inform a didactical framework that fosters a fully-fledged need for proof? Though </w:t>
      </w:r>
      <w:r w:rsidRPr="00A45118">
        <w:t xml:space="preserve">‘replicating’ history in the classroom is </w:t>
      </w:r>
      <w:r>
        <w:t xml:space="preserve">clearly not possible, </w:t>
      </w:r>
      <w:r w:rsidRPr="00A45118">
        <w:t>an ancient idea “through an adaptive didactic work, may probably be redesigned and made compatible with modern curricula in the context of the elaboration of teaching sequences” (</w:t>
      </w:r>
      <w:r>
        <w:t xml:space="preserve">Radford, 1997, </w:t>
      </w:r>
      <w:r w:rsidRPr="00A45118">
        <w:t>p. 32).</w:t>
      </w:r>
      <w:r>
        <w:t xml:space="preserve"> We shall argue that</w:t>
      </w:r>
      <w:r w:rsidR="00090846">
        <w:t>, by drawing parallels to the constituting journeys of the polis,</w:t>
      </w:r>
      <w:r>
        <w:t xml:space="preserve"> the </w:t>
      </w:r>
      <w:proofErr w:type="spellStart"/>
      <w:r>
        <w:t>Husserlian</w:t>
      </w:r>
      <w:proofErr w:type="spellEnd"/>
      <w:r>
        <w:t xml:space="preserve"> perspective may help in determining the principles of the ‘adaptive’ work required.</w:t>
      </w:r>
    </w:p>
    <w:p w:rsidR="00A71D8F" w:rsidRDefault="00A71D8F" w:rsidP="00A71D8F"/>
    <w:p w:rsidR="00EE5C01" w:rsidRPr="00D71075" w:rsidRDefault="00EE5C01" w:rsidP="00AF07FA">
      <w:pPr>
        <w:keepNext/>
        <w:ind w:hanging="11"/>
        <w:outlineLvl w:val="2"/>
      </w:pPr>
      <w:r>
        <w:rPr>
          <w:b/>
        </w:rPr>
        <w:t xml:space="preserve">The </w:t>
      </w:r>
      <w:r w:rsidRPr="00D71075">
        <w:rPr>
          <w:b/>
        </w:rPr>
        <w:t xml:space="preserve">contemporary expanded </w:t>
      </w:r>
      <w:r w:rsidR="002A0B31" w:rsidRPr="00D71075">
        <w:rPr>
          <w:b/>
        </w:rPr>
        <w:t>non</w:t>
      </w:r>
      <w:r w:rsidRPr="00D71075">
        <w:rPr>
          <w:b/>
        </w:rPr>
        <w:t>-</w:t>
      </w:r>
      <w:r w:rsidRPr="00D71075">
        <w:rPr>
          <w:b/>
          <w:i/>
        </w:rPr>
        <w:t>polis</w:t>
      </w:r>
      <w:r w:rsidR="008851C7" w:rsidRPr="00D71075">
        <w:rPr>
          <w:b/>
        </w:rPr>
        <w:t xml:space="preserve"> city</w:t>
      </w:r>
    </w:p>
    <w:p w:rsidR="00B7217F" w:rsidRDefault="00307771" w:rsidP="003A3922">
      <w:r w:rsidRPr="00D71075">
        <w:t>In</w:t>
      </w:r>
      <w:r w:rsidR="00402250" w:rsidRPr="00D71075">
        <w:t xml:space="preserve"> order</w:t>
      </w:r>
      <w:r w:rsidR="00402250">
        <w:t xml:space="preserve"> to </w:t>
      </w:r>
      <w:r w:rsidR="006C3160">
        <w:t>identify the ways that Husserl’s views may inform a didactical framework</w:t>
      </w:r>
      <w:r w:rsidR="00402250">
        <w:t>, we should first consider the following: What is the students’ natural attitude towards mathematics</w:t>
      </w:r>
      <w:r w:rsidR="00D40F1F">
        <w:t xml:space="preserve"> and </w:t>
      </w:r>
      <w:r w:rsidR="00402250">
        <w:t xml:space="preserve">learning in general? What is the role of language? </w:t>
      </w:r>
      <w:proofErr w:type="gramStart"/>
      <w:r w:rsidR="00402250">
        <w:t>Of technology?</w:t>
      </w:r>
      <w:proofErr w:type="gramEnd"/>
      <w:r w:rsidR="00402250">
        <w:t xml:space="preserve"> What is the </w:t>
      </w:r>
      <w:r w:rsidR="00665E01">
        <w:t xml:space="preserve">perceived by the students’ </w:t>
      </w:r>
      <w:r w:rsidR="00402250">
        <w:t xml:space="preserve">natural form of argumentation in mathematics? </w:t>
      </w:r>
      <w:proofErr w:type="gramStart"/>
      <w:r w:rsidR="00402250">
        <w:t>In everyday life?</w:t>
      </w:r>
      <w:proofErr w:type="gramEnd"/>
      <w:r w:rsidR="006743A7">
        <w:t xml:space="preserve"> </w:t>
      </w:r>
      <w:r>
        <w:t>We do not claim that there are universally applicable answers to these questions</w:t>
      </w:r>
      <w:r w:rsidR="00665E01">
        <w:t>. Each country, city, school unit, class have their special characteristics constituting a unique system (</w:t>
      </w:r>
      <w:proofErr w:type="spellStart"/>
      <w:r w:rsidR="00412330">
        <w:t>Moutsios-Rentzos</w:t>
      </w:r>
      <w:proofErr w:type="spellEnd"/>
      <w:r w:rsidR="00412330">
        <w:t xml:space="preserve">, </w:t>
      </w:r>
      <w:proofErr w:type="spellStart"/>
      <w:r w:rsidR="00412330">
        <w:t>Kalavasis</w:t>
      </w:r>
      <w:proofErr w:type="spellEnd"/>
      <w:r w:rsidR="00412330">
        <w:t xml:space="preserve"> &amp; </w:t>
      </w:r>
      <w:proofErr w:type="spellStart"/>
      <w:r w:rsidR="00412330">
        <w:t>Sofos</w:t>
      </w:r>
      <w:proofErr w:type="spellEnd"/>
      <w:r w:rsidR="00412330">
        <w:t>, 2013</w:t>
      </w:r>
      <w:r w:rsidR="00665E01">
        <w:t>)</w:t>
      </w:r>
      <w:r w:rsidR="00152F94">
        <w:t xml:space="preserve">. </w:t>
      </w:r>
      <w:r w:rsidR="00152F94" w:rsidRPr="00D71075">
        <w:t xml:space="preserve">Nevertheless, </w:t>
      </w:r>
      <w:r w:rsidRPr="00D71075">
        <w:t xml:space="preserve">we shall describe some elements that we think </w:t>
      </w:r>
      <w:r w:rsidR="00152F94" w:rsidRPr="00D71075">
        <w:t xml:space="preserve">characterise the </w:t>
      </w:r>
      <w:r w:rsidR="006743A7" w:rsidRPr="00D71075">
        <w:t xml:space="preserve">contemporary </w:t>
      </w:r>
      <w:r w:rsidR="00152F94" w:rsidRPr="00D71075">
        <w:t xml:space="preserve">lived reality </w:t>
      </w:r>
      <w:r w:rsidR="006743A7" w:rsidRPr="00D71075">
        <w:t>in the modern western societies</w:t>
      </w:r>
      <w:r w:rsidR="001A7D1D" w:rsidRPr="00D71075">
        <w:t xml:space="preserve"> with the purpose to identify crucial premises that may help in the reactivation of aspects of the socio-cultural tradition within which proof was ‘natural’</w:t>
      </w:r>
      <w:r w:rsidR="00152F94" w:rsidRPr="00D71075">
        <w:t>.</w:t>
      </w:r>
      <w:r w:rsidR="00A71D8F">
        <w:t xml:space="preserve"> We shall argue that the contemporary cities and citizens essentially constitute a</w:t>
      </w:r>
      <w:r w:rsidR="002A0B31">
        <w:t xml:space="preserve"> deconstructed, non-</w:t>
      </w:r>
      <w:r w:rsidR="00A71D8F" w:rsidRPr="00A71D8F">
        <w:rPr>
          <w:i/>
        </w:rPr>
        <w:t>polis</w:t>
      </w:r>
      <w:r w:rsidR="00A71D8F">
        <w:t xml:space="preserve"> </w:t>
      </w:r>
      <w:r w:rsidR="002A0B31">
        <w:t xml:space="preserve">entity, </w:t>
      </w:r>
      <w:r w:rsidR="00A71D8F">
        <w:t xml:space="preserve">characterised by the distortion of the </w:t>
      </w:r>
      <w:r w:rsidR="00090846">
        <w:t>‘</w:t>
      </w:r>
      <w:r w:rsidR="00A71D8F">
        <w:t>public space</w:t>
      </w:r>
      <w:r w:rsidR="00090846">
        <w:t>’</w:t>
      </w:r>
      <w:r w:rsidR="00A71D8F">
        <w:t xml:space="preserve"> (in the sense of Arendt, 1958) that </w:t>
      </w:r>
      <w:r w:rsidR="002A0B31">
        <w:t>signified</w:t>
      </w:r>
      <w:r w:rsidR="00A71D8F">
        <w:t xml:space="preserve"> the polis.</w:t>
      </w:r>
    </w:p>
    <w:p w:rsidR="006246C6" w:rsidRDefault="00152F94" w:rsidP="003A3922">
      <w:r>
        <w:lastRenderedPageBreak/>
        <w:t xml:space="preserve">With respect to the students’ natural attitude to mathematics, it appears that </w:t>
      </w:r>
      <w:r w:rsidR="00A019E7">
        <w:t>many</w:t>
      </w:r>
      <w:r w:rsidR="006246C6">
        <w:t xml:space="preserve"> students</w:t>
      </w:r>
      <w:r>
        <w:t xml:space="preserve"> consider mathematics to be bey</w:t>
      </w:r>
      <w:r w:rsidR="00A019E7">
        <w:t>ond their lived reality, to be hard, boring</w:t>
      </w:r>
      <w:r w:rsidR="003445C3">
        <w:t xml:space="preserve"> or</w:t>
      </w:r>
      <w:r w:rsidR="00A019E7">
        <w:t xml:space="preserve"> unnecessary (</w:t>
      </w:r>
      <w:r w:rsidR="00A019E7" w:rsidRPr="00A019E7">
        <w:t xml:space="preserve">Brown, Brown &amp; </w:t>
      </w:r>
      <w:proofErr w:type="spellStart"/>
      <w:r w:rsidR="00A019E7" w:rsidRPr="00A019E7">
        <w:t>Bibby</w:t>
      </w:r>
      <w:proofErr w:type="spellEnd"/>
      <w:r w:rsidR="00A019E7" w:rsidRPr="00A019E7">
        <w:t>, 2008</w:t>
      </w:r>
      <w:r w:rsidR="00A019E7">
        <w:t xml:space="preserve">). Healy (1999) argues that the current technologies prevent the students’ </w:t>
      </w:r>
      <w:r w:rsidR="00116938">
        <w:t xml:space="preserve">minds </w:t>
      </w:r>
      <w:r w:rsidR="00A019E7">
        <w:t xml:space="preserve">from </w:t>
      </w:r>
      <w:r w:rsidR="005C653F">
        <w:t>developing deductive reasoning</w:t>
      </w:r>
      <w:r w:rsidR="00666A2A">
        <w:t>, while it has a negative effect on the</w:t>
      </w:r>
      <w:r w:rsidR="00BC658D">
        <w:t>ir</w:t>
      </w:r>
      <w:r w:rsidR="00666A2A">
        <w:t xml:space="preserve"> “ability to remain actively focussed on a task</w:t>
      </w:r>
      <w:r w:rsidR="0017535C">
        <w:t>”</w:t>
      </w:r>
      <w:r w:rsidR="00666A2A">
        <w:t xml:space="preserve"> (p. 201). Though such </w:t>
      </w:r>
      <w:r w:rsidR="005C653F">
        <w:t>claim</w:t>
      </w:r>
      <w:r w:rsidR="00666A2A">
        <w:t>s</w:t>
      </w:r>
      <w:r w:rsidR="005C653F">
        <w:t xml:space="preserve"> may sound too strong, the current sociocultural context is fast, based on inductive arguments and decisions, while the virtual </w:t>
      </w:r>
      <w:r w:rsidR="003445C3">
        <w:t>social networking sites produce</w:t>
      </w:r>
      <w:r w:rsidR="005C653F">
        <w:t xml:space="preserve"> a multiplicity of realities within which the students</w:t>
      </w:r>
      <w:r w:rsidR="006246C6">
        <w:t xml:space="preserve"> and the other protagonists of the educational system</w:t>
      </w:r>
      <w:r w:rsidR="005C653F">
        <w:t xml:space="preserve"> act</w:t>
      </w:r>
      <w:r w:rsidR="00966E5F">
        <w:t xml:space="preserve"> and interact</w:t>
      </w:r>
      <w:r w:rsidR="005A0E8E">
        <w:t>, assuming diverse roles, often alternating positions in the positions of power (</w:t>
      </w:r>
      <w:proofErr w:type="spellStart"/>
      <w:r w:rsidR="005A0E8E">
        <w:t>Moutsios-Rentzos</w:t>
      </w:r>
      <w:proofErr w:type="spellEnd"/>
      <w:r w:rsidR="005A0E8E">
        <w:t xml:space="preserve"> et al, 2013)</w:t>
      </w:r>
      <w:r w:rsidR="006246C6">
        <w:t>.</w:t>
      </w:r>
    </w:p>
    <w:p w:rsidR="00402250" w:rsidRDefault="00D40F1F" w:rsidP="003A3922">
      <w:r>
        <w:t>T</w:t>
      </w:r>
      <w:r w:rsidR="005C653F">
        <w:t xml:space="preserve">he role of language </w:t>
      </w:r>
      <w:r>
        <w:t xml:space="preserve">in this complex context </w:t>
      </w:r>
      <w:r w:rsidR="005C653F">
        <w:t>appears to have radically transformed. The need for fast</w:t>
      </w:r>
      <w:r w:rsidR="00116938">
        <w:t>,</w:t>
      </w:r>
      <w:r w:rsidR="005C653F">
        <w:t xml:space="preserve"> usually factual</w:t>
      </w:r>
      <w:r w:rsidR="00116938">
        <w:t>,</w:t>
      </w:r>
      <w:r w:rsidR="005C653F">
        <w:t xml:space="preserve"> communication developed shorter versions of words, sentences, meanings. </w:t>
      </w:r>
      <w:r w:rsidR="00D5104C">
        <w:t>Such</w:t>
      </w:r>
      <w:r w:rsidR="005C653F">
        <w:t xml:space="preserve"> abbreviated forms hardly suffice when discussing mathematical objects</w:t>
      </w:r>
      <w:r w:rsidR="005A0E8E">
        <w:t xml:space="preserve"> within the context of a proof, where meanings can be communicated only through specifically phrased and structured semiotic means</w:t>
      </w:r>
      <w:r w:rsidR="005C653F">
        <w:t xml:space="preserve">. Thus, the </w:t>
      </w:r>
      <w:r w:rsidR="00966E5F">
        <w:t xml:space="preserve">verbal, logically complete argument identified as the </w:t>
      </w:r>
      <w:r w:rsidR="005C653F">
        <w:t>main vehicle for e</w:t>
      </w:r>
      <w:r w:rsidR="00966E5F">
        <w:t xml:space="preserve">stablishing the need for proof </w:t>
      </w:r>
      <w:r w:rsidR="005C653F">
        <w:t xml:space="preserve">appears to be in stark contrast with the contemporary linguistic </w:t>
      </w:r>
      <w:r w:rsidR="005A0E8E">
        <w:t xml:space="preserve">social </w:t>
      </w:r>
      <w:r w:rsidR="001C3B36">
        <w:t>habits</w:t>
      </w:r>
      <w:r w:rsidR="005C653F">
        <w:t>.</w:t>
      </w:r>
    </w:p>
    <w:p w:rsidR="00402250" w:rsidRDefault="001C3B36" w:rsidP="003A3922">
      <w:r>
        <w:t>A further consequence of the steep rate of change i</w:t>
      </w:r>
      <w:r w:rsidR="00676A27">
        <w:t>s</w:t>
      </w:r>
      <w:r>
        <w:t xml:space="preserve"> th</w:t>
      </w:r>
      <w:r w:rsidR="00676A27">
        <w:t xml:space="preserve">at even </w:t>
      </w:r>
      <w:r>
        <w:t xml:space="preserve">a local </w:t>
      </w:r>
      <w:r w:rsidR="00D40F1F">
        <w:t>‘</w:t>
      </w:r>
      <w:r>
        <w:t>logos</w:t>
      </w:r>
      <w:r w:rsidR="00D40F1F">
        <w:t>’</w:t>
      </w:r>
      <w:r w:rsidR="00676A27">
        <w:t xml:space="preserve"> or connotations may suffice for </w:t>
      </w:r>
      <w:r w:rsidR="00666A2A">
        <w:t>the arguer</w:t>
      </w:r>
      <w:r w:rsidR="005A0E8E">
        <w:t>s</w:t>
      </w:r>
      <w:r w:rsidR="00666A2A">
        <w:t xml:space="preserve"> to accomplish </w:t>
      </w:r>
      <w:r w:rsidR="005A0E8E">
        <w:t xml:space="preserve">their </w:t>
      </w:r>
      <w:r w:rsidR="00666A2A">
        <w:t>purpose</w:t>
      </w:r>
      <w:r w:rsidR="005A0E8E">
        <w:t xml:space="preserve"> in their everyday social interactions</w:t>
      </w:r>
      <w:r w:rsidR="00676A27">
        <w:t>.</w:t>
      </w:r>
      <w:r>
        <w:t xml:space="preserve"> </w:t>
      </w:r>
      <w:r w:rsidR="00666A2A">
        <w:t xml:space="preserve">The shared memory is short and the lived present is even shorter; there is no real need for immanence. </w:t>
      </w:r>
      <w:r w:rsidR="00966E5F">
        <w:t xml:space="preserve">This fragmented, disjunctive, </w:t>
      </w:r>
      <w:proofErr w:type="spellStart"/>
      <w:r w:rsidR="00966E5F">
        <w:t>sociotemporarily</w:t>
      </w:r>
      <w:proofErr w:type="spellEnd"/>
      <w:r w:rsidR="00966E5F">
        <w:t xml:space="preserve"> fragile common </w:t>
      </w:r>
      <w:r w:rsidR="00D40F1F">
        <w:t>‘</w:t>
      </w:r>
      <w:r w:rsidR="00966E5F">
        <w:t>logos</w:t>
      </w:r>
      <w:r w:rsidR="00D40F1F">
        <w:t>’</w:t>
      </w:r>
      <w:r w:rsidR="0017535C">
        <w:t xml:space="preserve"> and practices do</w:t>
      </w:r>
      <w:r w:rsidR="00966E5F">
        <w:t xml:space="preserve"> not bear any resemblance to the common log</w:t>
      </w:r>
      <w:r w:rsidR="005A0E8E">
        <w:t>os experienced in ancient Greece</w:t>
      </w:r>
      <w:r w:rsidR="00966E5F">
        <w:t>.</w:t>
      </w:r>
    </w:p>
    <w:p w:rsidR="00402250" w:rsidRDefault="001C3B36" w:rsidP="003A3922">
      <w:r>
        <w:t>Moreover, the contemporary way of living is characterised by connectedness</w:t>
      </w:r>
      <w:r w:rsidR="00966E5F">
        <w:t xml:space="preserve">, by the existence of non-linear </w:t>
      </w:r>
      <w:r w:rsidR="002A0B31">
        <w:t xml:space="preserve">social </w:t>
      </w:r>
      <w:r w:rsidR="00966E5F">
        <w:t>networks</w:t>
      </w:r>
      <w:r w:rsidR="002A0B31">
        <w:t xml:space="preserve"> that occur both in the traditionally perceived and the virtual world</w:t>
      </w:r>
      <w:r w:rsidR="00966E5F">
        <w:t xml:space="preserve">. </w:t>
      </w:r>
      <w:r w:rsidR="008B4A43">
        <w:t>Within this expanded time-space, t</w:t>
      </w:r>
      <w:r>
        <w:t>he seemingly simplistic linear, deductive argument</w:t>
      </w:r>
      <w:r w:rsidR="00666A2A">
        <w:t xml:space="preserve"> makes sense to be considered by the students as incompatible or even useless</w:t>
      </w:r>
      <w:r w:rsidR="00966E5F">
        <w:t xml:space="preserve"> </w:t>
      </w:r>
      <w:r w:rsidR="008B4A43">
        <w:t xml:space="preserve">in such a connected, seemingly non-hierarchical reality, thus </w:t>
      </w:r>
      <w:r w:rsidR="00D40F1F">
        <w:t>favouring</w:t>
      </w:r>
      <w:r w:rsidR="00966E5F">
        <w:t xml:space="preserve"> other forms of argument</w:t>
      </w:r>
      <w:r w:rsidR="00DE7C96">
        <w:t>ation</w:t>
      </w:r>
      <w:r w:rsidR="00966E5F">
        <w:t xml:space="preserve"> (</w:t>
      </w:r>
      <w:r w:rsidR="00DE7C96">
        <w:t xml:space="preserve">including </w:t>
      </w:r>
      <w:r w:rsidR="00966E5F">
        <w:t>inductive</w:t>
      </w:r>
      <w:r w:rsidR="00DE7C96">
        <w:t xml:space="preserve"> or </w:t>
      </w:r>
      <w:r w:rsidR="00966E5F">
        <w:t xml:space="preserve">abductive). </w:t>
      </w:r>
      <w:r w:rsidR="00666A2A">
        <w:t xml:space="preserve">Consequently, the shared </w:t>
      </w:r>
      <w:r w:rsidR="007B4054">
        <w:t>‘</w:t>
      </w:r>
      <w:r w:rsidR="00666A2A">
        <w:t>logos</w:t>
      </w:r>
      <w:r w:rsidR="007B4054">
        <w:t>’</w:t>
      </w:r>
      <w:r w:rsidR="00666A2A">
        <w:t xml:space="preserve"> of the contemporary sociocultural students’ reality, their natural attitude</w:t>
      </w:r>
      <w:r w:rsidR="00966E5F">
        <w:t>,</w:t>
      </w:r>
      <w:r w:rsidR="00666A2A">
        <w:t xml:space="preserve"> seems to be far from the phenomenological attitude that lead to the genesis of proof.</w:t>
      </w:r>
    </w:p>
    <w:p w:rsidR="00F01AE0" w:rsidRDefault="006246C6" w:rsidP="00F01AE0">
      <w:r>
        <w:t xml:space="preserve">At the same time, the high level of connectedness seems to be </w:t>
      </w:r>
      <w:r w:rsidR="008851C7">
        <w:t xml:space="preserve">combined </w:t>
      </w:r>
      <w:r>
        <w:t xml:space="preserve">with a lower level of citizenship. The citizen of the contemporary cities </w:t>
      </w:r>
      <w:r w:rsidR="00AF28F6">
        <w:t>appears to be</w:t>
      </w:r>
      <w:r>
        <w:t xml:space="preserve"> characterised by </w:t>
      </w:r>
      <w:r w:rsidR="00AF28F6">
        <w:t xml:space="preserve">individualism, </w:t>
      </w:r>
      <w:r w:rsidR="008B4A43">
        <w:t xml:space="preserve">by </w:t>
      </w:r>
      <w:r>
        <w:t xml:space="preserve">a </w:t>
      </w:r>
      <w:r w:rsidR="00AF28F6">
        <w:t>di</w:t>
      </w:r>
      <w:r>
        <w:t>minished interest for the common and especially for participating in the democratic processes (</w:t>
      </w:r>
      <w:r w:rsidR="009D3A61">
        <w:t>as indicated in the continuously decreasing turnout in national voting</w:t>
      </w:r>
      <w:r w:rsidR="00AF28F6">
        <w:t xml:space="preserve">). The personal excellence </w:t>
      </w:r>
      <w:r w:rsidR="00C35709">
        <w:t>(</w:t>
      </w:r>
      <w:proofErr w:type="spellStart"/>
      <w:r w:rsidR="00C35709" w:rsidRPr="008B4A43">
        <w:rPr>
          <w:i/>
        </w:rPr>
        <w:t>arete</w:t>
      </w:r>
      <w:proofErr w:type="spellEnd"/>
      <w:r w:rsidR="00C35709">
        <w:t xml:space="preserve">) </w:t>
      </w:r>
      <w:r w:rsidR="00AF28F6">
        <w:t xml:space="preserve">through and in line with the common good </w:t>
      </w:r>
      <w:r w:rsidR="009D3A61">
        <w:t xml:space="preserve">–which transformed the polis from a geographical characterisation to public space– </w:t>
      </w:r>
      <w:r w:rsidR="00AF28F6">
        <w:t>seem not t</w:t>
      </w:r>
      <w:r w:rsidR="00AF28F6" w:rsidRPr="00AF28F6">
        <w:t>o be present, as the individual strives to control and to be controlled, to rule and to be ruled, to be ‘normal’ and to be ‘normalised’</w:t>
      </w:r>
      <w:r w:rsidR="009D3A61">
        <w:t>, thus</w:t>
      </w:r>
      <w:r w:rsidR="00AF28F6" w:rsidRPr="00AF28F6">
        <w:t xml:space="preserve"> leading to </w:t>
      </w:r>
      <w:r w:rsidR="009D3A61">
        <w:t xml:space="preserve">deprived form the shared individualistic </w:t>
      </w:r>
      <w:r w:rsidR="00F01AE0" w:rsidRPr="00AF28F6">
        <w:t xml:space="preserve">passivity </w:t>
      </w:r>
      <w:r w:rsidR="00AF28F6" w:rsidRPr="00AF28F6">
        <w:t>(</w:t>
      </w:r>
      <w:proofErr w:type="spellStart"/>
      <w:r w:rsidR="009D3A61">
        <w:t>cf</w:t>
      </w:r>
      <w:proofErr w:type="spellEnd"/>
      <w:r w:rsidR="009D3A61">
        <w:t xml:space="preserve"> </w:t>
      </w:r>
      <w:r w:rsidR="00AF28F6" w:rsidRPr="00AF28F6">
        <w:t>Arendt, 1958).</w:t>
      </w:r>
    </w:p>
    <w:p w:rsidR="00B7217F" w:rsidRDefault="00B7217F" w:rsidP="00F01AE0"/>
    <w:p w:rsidR="004C45D2" w:rsidRDefault="004C45D2" w:rsidP="00AF07FA">
      <w:pPr>
        <w:keepNext/>
        <w:ind w:hanging="11"/>
        <w:outlineLvl w:val="2"/>
      </w:pPr>
      <w:r>
        <w:rPr>
          <w:b/>
        </w:rPr>
        <w:t xml:space="preserve">Fostering a fully-fledged need for proof: </w:t>
      </w:r>
      <w:r w:rsidR="00431C23">
        <w:rPr>
          <w:b/>
        </w:rPr>
        <w:t>didact</w:t>
      </w:r>
      <w:r>
        <w:rPr>
          <w:b/>
        </w:rPr>
        <w:t>ical principles</w:t>
      </w:r>
    </w:p>
    <w:p w:rsidR="00183C47" w:rsidRDefault="00666A2A" w:rsidP="004C45D2">
      <w:r>
        <w:t>What are appropriate pedagogies that may facilitate the students’ experiencing the reactivation of the need for proof</w:t>
      </w:r>
      <w:r w:rsidR="002039A8">
        <w:t xml:space="preserve"> within the aforementioned </w:t>
      </w:r>
      <w:r w:rsidR="00D801BD">
        <w:t xml:space="preserve">realities </w:t>
      </w:r>
      <w:r w:rsidR="002039A8">
        <w:t>that the students experience</w:t>
      </w:r>
      <w:r>
        <w:t xml:space="preserve">? Following Husserl, we argue that an appropriate </w:t>
      </w:r>
      <w:proofErr w:type="spellStart"/>
      <w:r w:rsidR="00816AD1">
        <w:rPr>
          <w:i/>
          <w:iCs/>
        </w:rPr>
        <w:t>e</w:t>
      </w:r>
      <w:r w:rsidR="00816AD1" w:rsidRPr="00816AD1">
        <w:rPr>
          <w:i/>
          <w:iCs/>
        </w:rPr>
        <w:t>poché</w:t>
      </w:r>
      <w:proofErr w:type="spellEnd"/>
      <w:r w:rsidR="00816AD1" w:rsidRPr="00816AD1">
        <w:t xml:space="preserve"> </w:t>
      </w:r>
      <w:r>
        <w:t xml:space="preserve">should be cultivated </w:t>
      </w:r>
      <w:r w:rsidR="00916309">
        <w:t>that would suspend the students’</w:t>
      </w:r>
      <w:r w:rsidR="00183C47" w:rsidRPr="00183C47">
        <w:t xml:space="preserve"> ‘natural attitude’ (for example, not to prove something obvious), allowing </w:t>
      </w:r>
      <w:r w:rsidR="00916309">
        <w:t xml:space="preserve">for </w:t>
      </w:r>
      <w:r w:rsidR="00183C47" w:rsidRPr="00183C47">
        <w:t xml:space="preserve">the </w:t>
      </w:r>
      <w:r w:rsidR="00916309">
        <w:t>phenomenological attitude to lead the students in the reactivation of the need for proof</w:t>
      </w:r>
      <w:r w:rsidR="00183C47" w:rsidRPr="00183C47">
        <w:t>.</w:t>
      </w:r>
    </w:p>
    <w:p w:rsidR="002B5752" w:rsidRDefault="00DE7C96" w:rsidP="002B5752">
      <w:r>
        <w:t>D</w:t>
      </w:r>
      <w:r w:rsidR="00916309">
        <w:t>rawing upon these and upon the realistic mathematics</w:t>
      </w:r>
      <w:r w:rsidR="00A71D8F">
        <w:t xml:space="preserve"> education</w:t>
      </w:r>
      <w:r w:rsidR="00916309">
        <w:t xml:space="preserve"> research paradigm (the epistemological bedrock of which is close to </w:t>
      </w:r>
      <w:r w:rsidR="00966E5F">
        <w:t>a</w:t>
      </w:r>
      <w:r w:rsidR="00916309">
        <w:t xml:space="preserve"> </w:t>
      </w:r>
      <w:proofErr w:type="spellStart"/>
      <w:r w:rsidR="00916309">
        <w:t>Husserlian</w:t>
      </w:r>
      <w:proofErr w:type="spellEnd"/>
      <w:r w:rsidR="00916309">
        <w:t xml:space="preserve"> perspective), </w:t>
      </w:r>
      <w:r>
        <w:t xml:space="preserve">we provide a sketch of a </w:t>
      </w:r>
      <w:r w:rsidR="004F52C1">
        <w:t xml:space="preserve">didactical </w:t>
      </w:r>
      <w:r>
        <w:t xml:space="preserve">framework </w:t>
      </w:r>
      <w:r w:rsidR="009F750C">
        <w:t xml:space="preserve">(with examples </w:t>
      </w:r>
      <w:r w:rsidR="00AF07FA">
        <w:t xml:space="preserve">mostly </w:t>
      </w:r>
      <w:r w:rsidR="009F750C">
        <w:t xml:space="preserve">deriving from </w:t>
      </w:r>
      <w:proofErr w:type="spellStart"/>
      <w:r w:rsidR="009F750C">
        <w:t>Moutsios-Rentzos</w:t>
      </w:r>
      <w:proofErr w:type="spellEnd"/>
      <w:r w:rsidR="00AB1316">
        <w:t xml:space="preserve"> et al</w:t>
      </w:r>
      <w:r w:rsidR="009F750C">
        <w:t>, 2014)</w:t>
      </w:r>
      <w:r>
        <w:t>.</w:t>
      </w:r>
    </w:p>
    <w:p w:rsidR="002B5752" w:rsidRDefault="00DE7C96" w:rsidP="002B5752">
      <w:r>
        <w:t>First, t</w:t>
      </w:r>
      <w:r w:rsidR="00916309">
        <w:t xml:space="preserve">he students should be familiar with the practical, everyday uses of mathematical ideas. Mathematics </w:t>
      </w:r>
      <w:r>
        <w:t xml:space="preserve">should be ‘real’ for the </w:t>
      </w:r>
      <w:proofErr w:type="gramStart"/>
      <w:r>
        <w:t>students,</w:t>
      </w:r>
      <w:proofErr w:type="gramEnd"/>
      <w:r>
        <w:t xml:space="preserve"> it should </w:t>
      </w:r>
      <w:r w:rsidR="00916309">
        <w:t xml:space="preserve">be </w:t>
      </w:r>
      <w:r w:rsidR="001C38FC">
        <w:t>‘</w:t>
      </w:r>
      <w:r w:rsidR="00916309">
        <w:t>discerned</w:t>
      </w:r>
      <w:r w:rsidR="001C38FC">
        <w:t>’</w:t>
      </w:r>
      <w:r w:rsidR="00916309">
        <w:t xml:space="preserve"> in the</w:t>
      </w:r>
      <w:r w:rsidR="004C45D2">
        <w:t>ir</w:t>
      </w:r>
      <w:r w:rsidR="00916309">
        <w:t xml:space="preserve"> lived world</w:t>
      </w:r>
      <w:r>
        <w:t xml:space="preserve">, as </w:t>
      </w:r>
      <w:r w:rsidR="004C45D2">
        <w:t xml:space="preserve">being practical, </w:t>
      </w:r>
      <w:r w:rsidR="001C38FC">
        <w:t>useful</w:t>
      </w:r>
      <w:r w:rsidR="004C45D2">
        <w:t>, crucially meaningful</w:t>
      </w:r>
      <w:r w:rsidR="001C38FC">
        <w:t>.</w:t>
      </w:r>
      <w:r>
        <w:t xml:space="preserve"> This may require the teachers’ drawing the students’ attention to everyday situations that incorporate </w:t>
      </w:r>
      <w:proofErr w:type="spellStart"/>
      <w:r>
        <w:t>sedimented</w:t>
      </w:r>
      <w:proofErr w:type="spellEnd"/>
      <w:r>
        <w:t xml:space="preserve"> mathematical ideas. For this purpose, </w:t>
      </w:r>
      <w:r w:rsidR="009F750C">
        <w:t xml:space="preserve">the starting point may be </w:t>
      </w:r>
      <w:r w:rsidR="00F91EC7">
        <w:t>a</w:t>
      </w:r>
      <w:r w:rsidR="001C38FC">
        <w:t xml:space="preserve"> problematic ‘real’ situation </w:t>
      </w:r>
      <w:r w:rsidR="002B5752">
        <w:t xml:space="preserve">for the </w:t>
      </w:r>
      <w:proofErr w:type="gramStart"/>
      <w:r w:rsidR="002B5752">
        <w:t xml:space="preserve">students </w:t>
      </w:r>
      <w:r w:rsidR="009F750C">
        <w:t>that requires</w:t>
      </w:r>
      <w:proofErr w:type="gramEnd"/>
      <w:r w:rsidR="009F750C">
        <w:t xml:space="preserve"> the re-invention of </w:t>
      </w:r>
      <w:r w:rsidR="001C38FC">
        <w:t>mathematical tools to be resolved</w:t>
      </w:r>
      <w:r w:rsidR="004C45D2">
        <w:t>, to be organised</w:t>
      </w:r>
      <w:r w:rsidR="001C38FC">
        <w:t>.</w:t>
      </w:r>
      <w:r w:rsidR="00F91EC7">
        <w:t xml:space="preserve"> For example, the construction of a </w:t>
      </w:r>
      <w:r w:rsidR="009F750C">
        <w:t>table</w:t>
      </w:r>
      <w:r w:rsidR="00F91EC7">
        <w:t xml:space="preserve"> requires </w:t>
      </w:r>
      <w:r w:rsidR="004F52C1">
        <w:t xml:space="preserve">a </w:t>
      </w:r>
      <w:proofErr w:type="spellStart"/>
      <w:r w:rsidR="004F52C1">
        <w:t>perpendicularity</w:t>
      </w:r>
      <w:proofErr w:type="spellEnd"/>
      <w:r w:rsidR="004F52C1">
        <w:t xml:space="preserve"> identification physical tool </w:t>
      </w:r>
      <w:r w:rsidR="009F750C">
        <w:t>and t</w:t>
      </w:r>
      <w:r w:rsidR="00F91EC7">
        <w:t xml:space="preserve">he construction </w:t>
      </w:r>
      <w:r w:rsidR="00A77560">
        <w:t xml:space="preserve">of </w:t>
      </w:r>
      <w:r w:rsidR="004F52C1">
        <w:t xml:space="preserve">such a tool </w:t>
      </w:r>
      <w:r w:rsidR="00F91EC7">
        <w:t xml:space="preserve">may facilitate the </w:t>
      </w:r>
      <w:r w:rsidR="009F750C">
        <w:t>students’ re</w:t>
      </w:r>
      <w:r w:rsidR="004F52C1">
        <w:t xml:space="preserve">-invention </w:t>
      </w:r>
      <w:r w:rsidR="009F750C">
        <w:t xml:space="preserve">of </w:t>
      </w:r>
      <w:r w:rsidR="004F52C1">
        <w:t xml:space="preserve">a </w:t>
      </w:r>
      <w:r w:rsidR="004C45D2">
        <w:t xml:space="preserve">relevant </w:t>
      </w:r>
      <w:r w:rsidR="004F52C1">
        <w:t>mathematical tool (</w:t>
      </w:r>
      <w:r w:rsidR="00A15F98">
        <w:t xml:space="preserve">e.g. </w:t>
      </w:r>
      <w:r w:rsidR="004F52C1">
        <w:t>the Pythagorean Theorem).</w:t>
      </w:r>
      <w:r w:rsidR="00A15F98">
        <w:t xml:space="preserve"> </w:t>
      </w:r>
      <w:r w:rsidR="002B5752">
        <w:t xml:space="preserve">It should be stressed that the materials employed in the students’ investigations are at the crux of the proposed framework, since they constitute the physical shared reference of each communication (see </w:t>
      </w:r>
      <w:proofErr w:type="spellStart"/>
      <w:r w:rsidR="002B5752">
        <w:rPr>
          <w:lang w:val="en-US"/>
        </w:rPr>
        <w:t>Moutsios-Rentzos</w:t>
      </w:r>
      <w:proofErr w:type="spellEnd"/>
      <w:r w:rsidR="002B5752">
        <w:rPr>
          <w:lang w:val="en-US"/>
        </w:rPr>
        <w:t>, in press</w:t>
      </w:r>
      <w:r w:rsidR="003C7AC1">
        <w:rPr>
          <w:lang w:val="en-US"/>
        </w:rPr>
        <w:t>-a</w:t>
      </w:r>
      <w:r w:rsidR="002B5752">
        <w:rPr>
          <w:lang w:val="en-US"/>
        </w:rPr>
        <w:t>)</w:t>
      </w:r>
      <w:r w:rsidR="002B5752">
        <w:t>.</w:t>
      </w:r>
    </w:p>
    <w:p w:rsidR="002B5752" w:rsidRDefault="002B5752" w:rsidP="00A46E49">
      <w:r>
        <w:t>I</w:t>
      </w:r>
      <w:r w:rsidR="009F750C">
        <w:t xml:space="preserve">n line with our reading of the genesis of proof, </w:t>
      </w:r>
      <w:r w:rsidR="00AE50C2">
        <w:t>t</w:t>
      </w:r>
      <w:r w:rsidR="00916309">
        <w:t xml:space="preserve">he mathematical ideas </w:t>
      </w:r>
      <w:r w:rsidR="00AE50C2">
        <w:t xml:space="preserve">should </w:t>
      </w:r>
      <w:r w:rsidR="00916309">
        <w:t xml:space="preserve">derive from some </w:t>
      </w:r>
      <w:r w:rsidR="001C38FC">
        <w:t>common (at least in the beginning) to human</w:t>
      </w:r>
      <w:r w:rsidR="00916309">
        <w:t xml:space="preserve"> principles</w:t>
      </w:r>
      <w:r w:rsidR="00AE50C2">
        <w:t xml:space="preserve">. For this purpose, the common to the human body sensory experiences of the world may </w:t>
      </w:r>
      <w:r>
        <w:t xml:space="preserve">be </w:t>
      </w:r>
      <w:r w:rsidR="00AE50C2">
        <w:t>the bedrock upon which the shared logos may be professed.</w:t>
      </w:r>
      <w:r w:rsidR="00AE50C2" w:rsidRPr="00AE50C2">
        <w:t xml:space="preserve"> Though perceptually born, those common principles </w:t>
      </w:r>
      <w:r w:rsidR="00AE50C2">
        <w:t>can</w:t>
      </w:r>
      <w:r w:rsidR="00A77560">
        <w:t>,</w:t>
      </w:r>
      <w:r w:rsidR="00AE50C2">
        <w:t xml:space="preserve"> </w:t>
      </w:r>
      <w:r w:rsidR="00AE50C2" w:rsidRPr="00AE50C2">
        <w:t xml:space="preserve">by </w:t>
      </w:r>
      <w:r w:rsidR="00AE50C2">
        <w:t xml:space="preserve">the </w:t>
      </w:r>
      <w:r w:rsidR="00AE50C2" w:rsidRPr="00AE50C2">
        <w:t>necessity of obtaining a shared meaning</w:t>
      </w:r>
      <w:r w:rsidR="00A77560">
        <w:t>,</w:t>
      </w:r>
      <w:r w:rsidR="00AE50C2" w:rsidRPr="00AE50C2">
        <w:t xml:space="preserve"> </w:t>
      </w:r>
      <w:r w:rsidR="00AE50C2">
        <w:t xml:space="preserve">be potentially </w:t>
      </w:r>
      <w:r w:rsidR="00AE50C2" w:rsidRPr="00AE50C2">
        <w:t xml:space="preserve">stripped of their subjective nature. For example, the </w:t>
      </w:r>
      <w:r w:rsidR="00AE50C2">
        <w:t xml:space="preserve">human body </w:t>
      </w:r>
      <w:r w:rsidR="00D801BD">
        <w:t>and mind are</w:t>
      </w:r>
      <w:r w:rsidR="00AE50C2">
        <w:t xml:space="preserve"> evolutionally designed to identify verticality</w:t>
      </w:r>
      <w:r w:rsidR="00D801BD">
        <w:t xml:space="preserve"> (</w:t>
      </w:r>
      <w:proofErr w:type="spellStart"/>
      <w:r w:rsidR="00D801BD" w:rsidRPr="00D801BD">
        <w:t>Merfeld</w:t>
      </w:r>
      <w:proofErr w:type="spellEnd"/>
      <w:r w:rsidR="00D801BD" w:rsidRPr="00D801BD">
        <w:t xml:space="preserve">, </w:t>
      </w:r>
      <w:proofErr w:type="spellStart"/>
      <w:r w:rsidR="00D801BD" w:rsidRPr="00D801BD">
        <w:t>Zupan</w:t>
      </w:r>
      <w:proofErr w:type="spellEnd"/>
      <w:r w:rsidR="00D801BD" w:rsidRPr="00D801BD">
        <w:t xml:space="preserve"> &amp; </w:t>
      </w:r>
      <w:proofErr w:type="spellStart"/>
      <w:r w:rsidR="00D801BD" w:rsidRPr="00D801BD">
        <w:t>Peterka</w:t>
      </w:r>
      <w:proofErr w:type="spellEnd"/>
      <w:r w:rsidR="00D801BD" w:rsidRPr="00D801BD">
        <w:t xml:space="preserve">, 1999; </w:t>
      </w:r>
      <w:proofErr w:type="spellStart"/>
      <w:r w:rsidR="00D801BD" w:rsidRPr="00D801BD">
        <w:t>Noback</w:t>
      </w:r>
      <w:proofErr w:type="spellEnd"/>
      <w:r w:rsidR="00D801BD" w:rsidRPr="00D801BD">
        <w:t xml:space="preserve">, </w:t>
      </w:r>
      <w:proofErr w:type="spellStart"/>
      <w:r w:rsidR="00D801BD" w:rsidRPr="00D801BD">
        <w:t>Strominger</w:t>
      </w:r>
      <w:proofErr w:type="spellEnd"/>
      <w:r w:rsidR="00D801BD" w:rsidRPr="00D801BD">
        <w:t>, Demarest &amp; Ruggiero, 2005)</w:t>
      </w:r>
      <w:r w:rsidR="00AE50C2">
        <w:t>, which enables us to survive</w:t>
      </w:r>
      <w:r w:rsidR="009F6895">
        <w:t xml:space="preserve"> </w:t>
      </w:r>
      <w:r w:rsidR="00AE50C2">
        <w:t>in a perceived as perpendicular to verticality (horizontal) world.</w:t>
      </w:r>
      <w:r w:rsidR="004F52C1">
        <w:t xml:space="preserve"> The</w:t>
      </w:r>
      <w:r w:rsidR="00AE50C2">
        <w:t xml:space="preserve"> </w:t>
      </w:r>
      <w:r w:rsidR="00D801BD">
        <w:t xml:space="preserve">intersubjective </w:t>
      </w:r>
      <w:r w:rsidR="00AE50C2" w:rsidRPr="00AE50C2">
        <w:t xml:space="preserve">sensory experience of </w:t>
      </w:r>
      <w:proofErr w:type="spellStart"/>
      <w:r w:rsidR="00AE50C2" w:rsidRPr="00AE50C2">
        <w:t>perpendicularity</w:t>
      </w:r>
      <w:proofErr w:type="spellEnd"/>
      <w:r w:rsidR="00AE50C2" w:rsidRPr="00AE50C2">
        <w:t xml:space="preserve"> –in order to be potentially infinitely communicated– is required to be linguistically described with appropriate signs. </w:t>
      </w:r>
      <w:r w:rsidR="004F52C1">
        <w:t xml:space="preserve">The aforementioned </w:t>
      </w:r>
      <w:proofErr w:type="spellStart"/>
      <w:r w:rsidR="004F52C1">
        <w:t>perpendicularity</w:t>
      </w:r>
      <w:proofErr w:type="spellEnd"/>
      <w:r w:rsidR="004F52C1">
        <w:t xml:space="preserve"> identification physical tool may be initially constructed with reference to an independent f</w:t>
      </w:r>
      <w:r w:rsidR="00A46E49">
        <w:t>ro</w:t>
      </w:r>
      <w:r w:rsidR="004F52C1">
        <w:t>m human activity, naturally existing</w:t>
      </w:r>
      <w:r w:rsidR="00A46E49">
        <w:t>,</w:t>
      </w:r>
      <w:r w:rsidR="004F52C1">
        <w:t xml:space="preserve"> </w:t>
      </w:r>
      <w:proofErr w:type="spellStart"/>
      <w:r w:rsidR="004F52C1">
        <w:t>perpendicularity</w:t>
      </w:r>
      <w:proofErr w:type="spellEnd"/>
      <w:r w:rsidR="004F52C1">
        <w:t xml:space="preserve"> (</w:t>
      </w:r>
      <w:r w:rsidR="00D801BD">
        <w:t xml:space="preserve">for example, </w:t>
      </w:r>
      <w:r w:rsidR="004F52C1">
        <w:t xml:space="preserve">the angle between the </w:t>
      </w:r>
      <w:r w:rsidR="00A46E49">
        <w:t>surface of the liquid and the string of the ‘plumb-bob’)</w:t>
      </w:r>
      <w:r w:rsidR="00D801BD">
        <w:t>, thus allowing for the potential of constructing an argument that transcends the subjective experience</w:t>
      </w:r>
      <w:r w:rsidR="00A46E49">
        <w:t>.</w:t>
      </w:r>
    </w:p>
    <w:p w:rsidR="00172D5C" w:rsidRDefault="00A46E49" w:rsidP="00857957">
      <w:r>
        <w:lastRenderedPageBreak/>
        <w:t>Furthermore, a</w:t>
      </w:r>
      <w:r w:rsidR="00AE50C2" w:rsidRPr="00AE50C2">
        <w:t>ppropriate</w:t>
      </w:r>
      <w:r w:rsidR="00A77560">
        <w:t xml:space="preserve"> interventions </w:t>
      </w:r>
      <w:r w:rsidR="00AE50C2" w:rsidRPr="00AE50C2">
        <w:t xml:space="preserve">may facilitate the students’ conceptual shift in the semiotic registries employed in their </w:t>
      </w:r>
      <w:r w:rsidR="00AE50C2" w:rsidRPr="00943C0E">
        <w:rPr>
          <w:i/>
        </w:rPr>
        <w:t>communicating</w:t>
      </w:r>
      <w:r w:rsidR="00AE50C2" w:rsidRPr="00AE50C2">
        <w:t xml:space="preserve"> their </w:t>
      </w:r>
      <w:r>
        <w:t xml:space="preserve">embodied </w:t>
      </w:r>
      <w:r w:rsidR="00AE50C2" w:rsidRPr="00AE50C2">
        <w:t>experiences.</w:t>
      </w:r>
      <w:r>
        <w:t xml:space="preserve"> For this purpose, it is crucial for the students to realise the need for employing </w:t>
      </w:r>
      <w:r w:rsidR="009F5BFC">
        <w:t>more symbolic and abstract semiotic registries in order to successfully resolve the situation</w:t>
      </w:r>
      <w:r w:rsidR="00B62AFA">
        <w:t xml:space="preserve"> </w:t>
      </w:r>
      <w:r w:rsidR="00B62AFA" w:rsidRPr="00B62AFA">
        <w:rPr>
          <w:i/>
        </w:rPr>
        <w:t>and</w:t>
      </w:r>
      <w:r w:rsidR="00B62AFA">
        <w:t xml:space="preserve"> </w:t>
      </w:r>
      <w:r w:rsidR="009F5BFC">
        <w:t xml:space="preserve">to communicate </w:t>
      </w:r>
      <w:r w:rsidR="00B62AFA">
        <w:t xml:space="preserve">(and to convince) their argument about the validity of their </w:t>
      </w:r>
      <w:r w:rsidR="009F5BFC">
        <w:t>solution</w:t>
      </w:r>
      <w:r w:rsidR="00B62AFA">
        <w:t xml:space="preserve"> to </w:t>
      </w:r>
      <w:r w:rsidR="009F5BFC">
        <w:t>their classmates, to their teacher, to whomever</w:t>
      </w:r>
      <w:r w:rsidR="00857957">
        <w:t xml:space="preserve"> whenever</w:t>
      </w:r>
      <w:r w:rsidR="009F5BFC">
        <w:t xml:space="preserve"> may face </w:t>
      </w:r>
      <w:r w:rsidR="00857957">
        <w:t xml:space="preserve">such </w:t>
      </w:r>
      <w:r w:rsidR="009F5BFC">
        <w:t>a situation</w:t>
      </w:r>
      <w:r w:rsidR="00B62AFA">
        <w:t xml:space="preserve">. </w:t>
      </w:r>
      <w:r w:rsidR="004C45D2">
        <w:t xml:space="preserve">The argument needs not only to be valid for the arguer, but for the potential audience. </w:t>
      </w:r>
      <w:r w:rsidR="009F5BFC">
        <w:t xml:space="preserve">For example, the students may construct a wooden triangular frame that </w:t>
      </w:r>
      <w:r w:rsidR="00857957">
        <w:t xml:space="preserve">visually </w:t>
      </w:r>
      <w:r w:rsidR="009F5BFC">
        <w:t xml:space="preserve">fits the </w:t>
      </w:r>
      <w:r w:rsidR="00857957">
        <w:t xml:space="preserve">natural </w:t>
      </w:r>
      <w:proofErr w:type="spellStart"/>
      <w:r w:rsidR="00857957">
        <w:t>perpendicularity</w:t>
      </w:r>
      <w:proofErr w:type="spellEnd"/>
      <w:r w:rsidR="00857957">
        <w:t>, but the teacher’s guidance towards revealing what are the properties that the frame has that renders such a fit feasible may foster the employment of mathematical symbolism.</w:t>
      </w:r>
      <w:r w:rsidR="00943C0E">
        <w:t xml:space="preserve"> </w:t>
      </w:r>
      <w:r w:rsidR="005E39A0">
        <w:t>For this purpose, the students may be guided to realise the constraints of the physical material in conveying the ‘general’ (rule, case etc) to a large (potentially infinite) audience.</w:t>
      </w:r>
      <w:r w:rsidR="00172D5C">
        <w:t xml:space="preserve"> Within this context, the employment of the number may arise as a ‘natural’ necessity as a way of maximising the communication of the (inductively, perceptually or other) derived results.</w:t>
      </w:r>
    </w:p>
    <w:p w:rsidR="00857957" w:rsidRPr="00857957" w:rsidRDefault="005E39A0" w:rsidP="00857957">
      <w:r>
        <w:t>T</w:t>
      </w:r>
      <w:r w:rsidR="00857957">
        <w:t xml:space="preserve">he employment of mathematical symbolism may </w:t>
      </w:r>
      <w:r>
        <w:t xml:space="preserve">also </w:t>
      </w:r>
      <w:r w:rsidR="00857957">
        <w:t>help in the r</w:t>
      </w:r>
      <w:r w:rsidR="001C38FC">
        <w:t>ealisation</w:t>
      </w:r>
      <w:r w:rsidR="001C38FC" w:rsidRPr="001C38FC">
        <w:t xml:space="preserve"> </w:t>
      </w:r>
      <w:r w:rsidR="001C38FC">
        <w:t>that</w:t>
      </w:r>
      <w:r w:rsidR="001C38FC" w:rsidRPr="001C38FC">
        <w:t xml:space="preserve"> </w:t>
      </w:r>
      <w:r w:rsidR="00857957">
        <w:t xml:space="preserve">though </w:t>
      </w:r>
      <w:r w:rsidR="001C38FC">
        <w:t>the</w:t>
      </w:r>
      <w:r w:rsidR="001C38FC" w:rsidRPr="001C38FC">
        <w:t xml:space="preserve"> </w:t>
      </w:r>
      <w:r w:rsidR="001C38FC">
        <w:t>mathematical</w:t>
      </w:r>
      <w:r w:rsidR="001C38FC" w:rsidRPr="001C38FC">
        <w:t xml:space="preserve"> </w:t>
      </w:r>
      <w:r w:rsidR="001C38FC">
        <w:t>ideas</w:t>
      </w:r>
      <w:r w:rsidR="001C38FC" w:rsidRPr="001C38FC">
        <w:t xml:space="preserve"> </w:t>
      </w:r>
      <w:proofErr w:type="spellStart"/>
      <w:r w:rsidR="001C38FC">
        <w:t>logico</w:t>
      </w:r>
      <w:proofErr w:type="spellEnd"/>
      <w:r w:rsidR="001C38FC" w:rsidRPr="001C38FC">
        <w:t>-</w:t>
      </w:r>
      <w:r w:rsidR="001C38FC">
        <w:t>deductively</w:t>
      </w:r>
      <w:r w:rsidR="001C38FC" w:rsidRPr="001C38FC">
        <w:t xml:space="preserve"> </w:t>
      </w:r>
      <w:r>
        <w:t xml:space="preserve">may </w:t>
      </w:r>
      <w:r w:rsidR="001C38FC">
        <w:t>derive</w:t>
      </w:r>
      <w:r w:rsidR="001C38FC" w:rsidRPr="001C38FC">
        <w:t xml:space="preserve"> </w:t>
      </w:r>
      <w:r>
        <w:t>(throug</w:t>
      </w:r>
      <w:r w:rsidR="002B5752">
        <w:t xml:space="preserve">h </w:t>
      </w:r>
      <w:proofErr w:type="spellStart"/>
      <w:r w:rsidR="002B5752">
        <w:t>mathematisation</w:t>
      </w:r>
      <w:proofErr w:type="spellEnd"/>
      <w:r w:rsidR="002B5752">
        <w:t xml:space="preserve"> processe</w:t>
      </w:r>
      <w:r>
        <w:t xml:space="preserve">s) </w:t>
      </w:r>
      <w:r w:rsidR="001C38FC">
        <w:t>from</w:t>
      </w:r>
      <w:r w:rsidR="001C38FC" w:rsidRPr="001C38FC">
        <w:t xml:space="preserve"> </w:t>
      </w:r>
      <w:r w:rsidR="001C38FC">
        <w:t>the s</w:t>
      </w:r>
      <w:r w:rsidR="00857957">
        <w:t xml:space="preserve">hared, communicated experiences, they </w:t>
      </w:r>
      <w:r w:rsidR="001F6E79">
        <w:t>no long</w:t>
      </w:r>
      <w:r w:rsidR="00857957">
        <w:t xml:space="preserve">er (need to) exist within the experience. </w:t>
      </w:r>
      <w:r w:rsidR="001F6E79">
        <w:t xml:space="preserve">They </w:t>
      </w:r>
      <w:r w:rsidR="00857957">
        <w:t xml:space="preserve">(may) </w:t>
      </w:r>
      <w:r w:rsidR="001F6E79">
        <w:t>have a pragmatic reference, but only ideal essence.</w:t>
      </w:r>
      <w:r w:rsidR="00857957">
        <w:t xml:space="preserve"> For example, the triangle the lengths of the sides which are 3, 4 and 5 </w:t>
      </w:r>
      <w:r w:rsidR="00857957" w:rsidRPr="00857957">
        <w:rPr>
          <w:i/>
        </w:rPr>
        <w:t>units</w:t>
      </w:r>
      <w:r w:rsidR="00857957">
        <w:t xml:space="preserve"> is right-angled regardless of the physical magnitude of the unit, since 5</w:t>
      </w:r>
      <w:r w:rsidR="00857957" w:rsidRPr="00857957">
        <w:rPr>
          <w:vertAlign w:val="superscript"/>
        </w:rPr>
        <w:t>2</w:t>
      </w:r>
      <w:r w:rsidR="00857957">
        <w:t>=3</w:t>
      </w:r>
      <w:r w:rsidR="00857957" w:rsidRPr="00857957">
        <w:rPr>
          <w:vertAlign w:val="superscript"/>
        </w:rPr>
        <w:t>2</w:t>
      </w:r>
      <w:r w:rsidR="00857957">
        <w:t>+4</w:t>
      </w:r>
      <w:r w:rsidR="00857957" w:rsidRPr="00857957">
        <w:rPr>
          <w:vertAlign w:val="superscript"/>
        </w:rPr>
        <w:t>2</w:t>
      </w:r>
      <w:r w:rsidR="00857957">
        <w:t xml:space="preserve"> holds true under the usual algebra.</w:t>
      </w:r>
    </w:p>
    <w:p w:rsidR="003F304F" w:rsidRDefault="001F6E79" w:rsidP="00857957">
      <w:r w:rsidRPr="001F6E79">
        <w:rPr>
          <w:lang w:val="el-GR"/>
        </w:rPr>
        <w:t>Ε</w:t>
      </w:r>
      <w:proofErr w:type="spellStart"/>
      <w:r>
        <w:t>stablishing</w:t>
      </w:r>
      <w:proofErr w:type="spellEnd"/>
      <w:r>
        <w:t xml:space="preserve"> a common linguistic expression </w:t>
      </w:r>
      <w:r w:rsidR="00D5104C">
        <w:t xml:space="preserve">(homo-logia) </w:t>
      </w:r>
      <w:r>
        <w:t xml:space="preserve">of the shared </w:t>
      </w:r>
      <w:proofErr w:type="spellStart"/>
      <w:r>
        <w:t>sedimented</w:t>
      </w:r>
      <w:proofErr w:type="spellEnd"/>
      <w:r>
        <w:t xml:space="preserve"> </w:t>
      </w:r>
      <w:r w:rsidR="00D40F1F">
        <w:t>axiomatic system</w:t>
      </w:r>
      <w:r w:rsidR="000516AD">
        <w:t xml:space="preserve"> </w:t>
      </w:r>
      <w:r>
        <w:t xml:space="preserve">of </w:t>
      </w:r>
      <w:r w:rsidR="00D5104C">
        <w:t xml:space="preserve">some </w:t>
      </w:r>
      <w:r>
        <w:t xml:space="preserve">common ideal, yet anthropological, principles is a crucial step in transforming this </w:t>
      </w:r>
      <w:r w:rsidR="00D40F1F">
        <w:t>system</w:t>
      </w:r>
      <w:r>
        <w:t xml:space="preserve"> to an object upon which mental </w:t>
      </w:r>
      <w:r w:rsidR="00D5104C">
        <w:t xml:space="preserve">processes may be acted. </w:t>
      </w:r>
      <w:r w:rsidR="005E39A0">
        <w:t xml:space="preserve">In </w:t>
      </w:r>
      <w:r w:rsidR="00D40F1F">
        <w:t>the</w:t>
      </w:r>
      <w:r w:rsidR="005E39A0">
        <w:t xml:space="preserve"> proposed didactical framework, the students realise that the backbone of the axiomatic system derives from the physical constraints of the human body and as such cannot be absolute or ‘given’. Hence, once the axiomatic framework has been objectified, it can itself be subjected to </w:t>
      </w:r>
      <w:proofErr w:type="spellStart"/>
      <w:r w:rsidR="005E39A0">
        <w:t>metacognitive</w:t>
      </w:r>
      <w:proofErr w:type="spellEnd"/>
      <w:r w:rsidR="005E39A0">
        <w:t xml:space="preserve"> investigations. </w:t>
      </w:r>
      <w:r w:rsidR="000516AD">
        <w:t xml:space="preserve">For example, </w:t>
      </w:r>
      <w:r w:rsidR="000516AD">
        <w:rPr>
          <w:lang w:val="en-US"/>
        </w:rPr>
        <w:t>“What if … we perceptually experience</w:t>
      </w:r>
      <w:r w:rsidR="00D5104C">
        <w:rPr>
          <w:lang w:val="en-US"/>
        </w:rPr>
        <w:t xml:space="preserve"> the surface we walk as the surface</w:t>
      </w:r>
      <w:r w:rsidR="000516AD">
        <w:rPr>
          <w:lang w:val="en-US"/>
        </w:rPr>
        <w:t xml:space="preserve"> of a sphere?</w:t>
      </w:r>
      <w:proofErr w:type="gramStart"/>
      <w:r w:rsidR="000516AD">
        <w:rPr>
          <w:lang w:val="en-US"/>
        </w:rPr>
        <w:t>”.</w:t>
      </w:r>
      <w:proofErr w:type="gramEnd"/>
      <w:r w:rsidR="000516AD">
        <w:rPr>
          <w:lang w:val="en-US"/>
        </w:rPr>
        <w:t xml:space="preserve"> Or, “What if … the </w:t>
      </w:r>
      <w:r w:rsidR="000516AD" w:rsidRPr="000516AD">
        <w:t>5</w:t>
      </w:r>
      <w:r w:rsidR="000516AD" w:rsidRPr="000516AD">
        <w:rPr>
          <w:vertAlign w:val="superscript"/>
        </w:rPr>
        <w:t>2</w:t>
      </w:r>
      <w:r w:rsidR="000516AD" w:rsidRPr="000516AD">
        <w:t>=3</w:t>
      </w:r>
      <w:r w:rsidR="000516AD" w:rsidRPr="000516AD">
        <w:rPr>
          <w:vertAlign w:val="superscript"/>
        </w:rPr>
        <w:t>2</w:t>
      </w:r>
      <w:r w:rsidR="000516AD" w:rsidRPr="000516AD">
        <w:t>+4</w:t>
      </w:r>
      <w:r w:rsidR="000516AD" w:rsidRPr="000516AD">
        <w:rPr>
          <w:vertAlign w:val="superscript"/>
        </w:rPr>
        <w:t>2</w:t>
      </w:r>
      <w:r w:rsidR="000516AD">
        <w:t xml:space="preserve"> is not true?</w:t>
      </w:r>
      <w:proofErr w:type="gramStart"/>
      <w:r w:rsidR="000516AD">
        <w:t>”.</w:t>
      </w:r>
      <w:proofErr w:type="gramEnd"/>
      <w:r w:rsidR="000516AD">
        <w:t xml:space="preserve"> </w:t>
      </w:r>
      <w:r w:rsidR="00C45711">
        <w:t xml:space="preserve">Drawing upon </w:t>
      </w:r>
      <w:r w:rsidR="000516AD">
        <w:t>Husserl’s phenomenology</w:t>
      </w:r>
      <w:r w:rsidR="00C45711">
        <w:t>, the proposed didactical framework</w:t>
      </w:r>
      <w:r w:rsidR="000516AD">
        <w:t xml:space="preserve"> </w:t>
      </w:r>
      <w:r w:rsidR="000516AD" w:rsidRPr="00C45711">
        <w:rPr>
          <w:i/>
        </w:rPr>
        <w:t xml:space="preserve">allows the </w:t>
      </w:r>
      <w:r w:rsidR="00B62AFA" w:rsidRPr="00C45711">
        <w:rPr>
          <w:i/>
        </w:rPr>
        <w:t xml:space="preserve">students’ </w:t>
      </w:r>
      <w:r w:rsidR="000516AD" w:rsidRPr="00C45711">
        <w:rPr>
          <w:i/>
        </w:rPr>
        <w:t>question</w:t>
      </w:r>
      <w:r w:rsidR="00D40F1F" w:rsidRPr="00C45711">
        <w:rPr>
          <w:i/>
        </w:rPr>
        <w:t>ing</w:t>
      </w:r>
      <w:r w:rsidR="000516AD" w:rsidRPr="00C45711">
        <w:rPr>
          <w:i/>
        </w:rPr>
        <w:t xml:space="preserve"> the very fabric upon which the situation is perceived</w:t>
      </w:r>
      <w:r w:rsidR="000516AD">
        <w:t xml:space="preserve">, because </w:t>
      </w:r>
      <w:r w:rsidR="00F23071">
        <w:t xml:space="preserve">the central role of language and communication allows </w:t>
      </w:r>
      <w:r w:rsidR="000516AD">
        <w:t xml:space="preserve">the learners </w:t>
      </w:r>
      <w:r w:rsidR="00F23071">
        <w:t xml:space="preserve">to </w:t>
      </w:r>
      <w:r w:rsidR="000516AD">
        <w:t xml:space="preserve">realise (re-reveal) that the mathematics they experience everyday are only an instance of the </w:t>
      </w:r>
      <w:r w:rsidR="000E05FC">
        <w:t>infinite potential mathematics</w:t>
      </w:r>
      <w:r w:rsidR="000516AD">
        <w:t xml:space="preserve"> the mind can create.</w:t>
      </w:r>
      <w:r w:rsidR="00B62AFA">
        <w:t xml:space="preserve"> </w:t>
      </w:r>
      <w:r w:rsidR="000516AD">
        <w:t xml:space="preserve">Within this potential, the students may </w:t>
      </w:r>
      <w:r w:rsidR="00F23071">
        <w:t xml:space="preserve">come to </w:t>
      </w:r>
      <w:r w:rsidR="000516AD">
        <w:t>realise that t</w:t>
      </w:r>
      <w:r>
        <w:t>he mind games with the constituting common principles can be played only with conceptual tools, with reason</w:t>
      </w:r>
      <w:r w:rsidR="00C45711">
        <w:t xml:space="preserve">, thus resulting </w:t>
      </w:r>
      <w:proofErr w:type="spellStart"/>
      <w:r w:rsidR="00C45711">
        <w:t>to</w:t>
      </w:r>
      <w:proofErr w:type="spellEnd"/>
      <w:r w:rsidR="00C45711">
        <w:t xml:space="preserve"> abstract mathematical structures</w:t>
      </w:r>
      <w:r w:rsidR="003F304F">
        <w:t xml:space="preserve"> (for example, algebraic geometry)</w:t>
      </w:r>
      <w:r>
        <w:t xml:space="preserve">. The need for proof </w:t>
      </w:r>
      <w:r w:rsidR="00C45711">
        <w:t>in these strange to perception</w:t>
      </w:r>
      <w:r w:rsidR="000E05FC">
        <w:t xml:space="preserve"> worlds </w:t>
      </w:r>
      <w:r w:rsidR="003F304F">
        <w:t>appear to be</w:t>
      </w:r>
      <w:r>
        <w:t xml:space="preserve"> natural, </w:t>
      </w:r>
      <w:r w:rsidR="003F304F">
        <w:t>since</w:t>
      </w:r>
      <w:r>
        <w:t xml:space="preserve"> proof </w:t>
      </w:r>
      <w:r w:rsidR="003F304F">
        <w:t xml:space="preserve">is </w:t>
      </w:r>
      <w:r>
        <w:t xml:space="preserve">the only means for evaluating the validity of a </w:t>
      </w:r>
      <w:r w:rsidR="003F304F">
        <w:t>statement</w:t>
      </w:r>
      <w:r>
        <w:t xml:space="preserve">. At the same time, the lack of a means for establishing </w:t>
      </w:r>
      <w:r>
        <w:lastRenderedPageBreak/>
        <w:t xml:space="preserve">some perceptually derived intuition of the new structure facilitates the students’ developing the need for proof as the </w:t>
      </w:r>
      <w:r w:rsidR="00C45711">
        <w:t xml:space="preserve">only </w:t>
      </w:r>
      <w:r>
        <w:t xml:space="preserve">gatekeeper of </w:t>
      </w:r>
      <w:r w:rsidR="003F304F">
        <w:t xml:space="preserve">the </w:t>
      </w:r>
      <w:r>
        <w:t>structure</w:t>
      </w:r>
      <w:r w:rsidR="00F23071">
        <w:t xml:space="preserve"> </w:t>
      </w:r>
      <w:r w:rsidR="003F304F">
        <w:t>itself</w:t>
      </w:r>
      <w:r>
        <w:t>.</w:t>
      </w:r>
    </w:p>
    <w:p w:rsidR="00AE50C2" w:rsidRDefault="003F304F" w:rsidP="00AE50C2">
      <w:r>
        <w:t xml:space="preserve">Overall, we argue that the </w:t>
      </w:r>
      <w:proofErr w:type="spellStart"/>
      <w:r>
        <w:t>Husserlian</w:t>
      </w:r>
      <w:proofErr w:type="spellEnd"/>
      <w:r>
        <w:t xml:space="preserve"> </w:t>
      </w:r>
      <w:r w:rsidR="00DD694A">
        <w:t>re-visit</w:t>
      </w:r>
      <w:r w:rsidR="00C45711">
        <w:t xml:space="preserve"> </w:t>
      </w:r>
      <w:r>
        <w:t xml:space="preserve">of </w:t>
      </w:r>
      <w:r w:rsidR="00C45711">
        <w:t xml:space="preserve">our reading of </w:t>
      </w:r>
      <w:r>
        <w:t xml:space="preserve">the genesis of proof in ancient Greece helped in identifying pedagogical principles </w:t>
      </w:r>
      <w:r w:rsidR="00BE0140">
        <w:rPr>
          <w:lang w:val="en-US"/>
        </w:rPr>
        <w:t>–</w:t>
      </w:r>
      <w:r w:rsidR="00BE0140" w:rsidRPr="75E74983">
        <w:rPr>
          <w:i/>
          <w:iCs/>
        </w:rPr>
        <w:t xml:space="preserve">a ‘real’; problematic situation, </w:t>
      </w:r>
      <w:r w:rsidR="00BE0140" w:rsidRPr="75E74983">
        <w:rPr>
          <w:i/>
          <w:iCs/>
          <w:lang w:val="en-US"/>
        </w:rPr>
        <w:t>embodied experience</w:t>
      </w:r>
      <w:r w:rsidR="00A15F98" w:rsidRPr="75E74983">
        <w:rPr>
          <w:i/>
          <w:iCs/>
          <w:lang w:val="en-US"/>
        </w:rPr>
        <w:t>s</w:t>
      </w:r>
      <w:r w:rsidR="00BE0140" w:rsidRPr="75E74983">
        <w:rPr>
          <w:i/>
          <w:iCs/>
          <w:lang w:val="en-US"/>
        </w:rPr>
        <w:t xml:space="preserve">, pre-scientific </w:t>
      </w:r>
      <w:r w:rsidR="00A15F98" w:rsidRPr="75E74983">
        <w:rPr>
          <w:i/>
          <w:iCs/>
          <w:lang w:val="en-US"/>
        </w:rPr>
        <w:t>materials</w:t>
      </w:r>
      <w:r w:rsidR="00BE0140" w:rsidRPr="75E74983">
        <w:rPr>
          <w:i/>
          <w:iCs/>
          <w:lang w:val="en-US"/>
        </w:rPr>
        <w:t>, language (oral or written), communication (argumentation) to self and others through different semiotic registries</w:t>
      </w:r>
      <w:r w:rsidR="00BE0140">
        <w:rPr>
          <w:lang w:val="en-US"/>
        </w:rPr>
        <w:t xml:space="preserve">– </w:t>
      </w:r>
      <w:r w:rsidR="00BE0140">
        <w:t>that form an epistemologically coherent didactical framework</w:t>
      </w:r>
      <w:r w:rsidR="00C45711">
        <w:t xml:space="preserve"> that may facilitate the students’ experiencing a fully-fledged need for proof</w:t>
      </w:r>
      <w:r w:rsidR="00A77560">
        <w:t>.</w:t>
      </w:r>
      <w:r w:rsidR="00DD694A">
        <w:t xml:space="preserve"> Importantly, the proposed didactical principles are expected to facilitate the students’ meaningfully experiencing a social reality that constitutes a mathematical public space resembling the polis, within which the students may assume the role of the arguing</w:t>
      </w:r>
      <w:r w:rsidR="004E350D">
        <w:t>, active</w:t>
      </w:r>
      <w:r w:rsidR="00DD694A">
        <w:t xml:space="preserve"> citizen</w:t>
      </w:r>
      <w:r w:rsidR="004E350D">
        <w:t xml:space="preserve"> who seeks to esta</w:t>
      </w:r>
      <w:r w:rsidR="00AF07FA">
        <w:t>blish a transcendental argument</w:t>
      </w:r>
      <w:r w:rsidR="004E350D">
        <w:t>.</w:t>
      </w:r>
    </w:p>
    <w:p w:rsidR="00A818C2" w:rsidRDefault="00A818C2" w:rsidP="00AE50C2"/>
    <w:p w:rsidR="00A818C2" w:rsidRDefault="00A818C2" w:rsidP="00A818C2">
      <w:pPr>
        <w:pStyle w:val="Heading2"/>
      </w:pPr>
      <w:r>
        <w:t>Concluding remarks</w:t>
      </w:r>
    </w:p>
    <w:p w:rsidR="00A818C2" w:rsidRDefault="00A818C2" w:rsidP="00AE50C2">
      <w:pPr>
        <w:rPr>
          <w:lang w:val="en-US"/>
        </w:rPr>
      </w:pPr>
      <w:r>
        <w:rPr>
          <w:lang w:val="en-US"/>
        </w:rPr>
        <w:t xml:space="preserve">In this essay we discussed the students’ internal need for proof. We highlighted the fact that existing didactical frameworks appear not to address the full-fledged need for proof, notably the need for structure. We posited that a </w:t>
      </w:r>
      <w:proofErr w:type="spellStart"/>
      <w:r>
        <w:rPr>
          <w:lang w:val="en-US"/>
        </w:rPr>
        <w:t>Husserlian</w:t>
      </w:r>
      <w:proofErr w:type="spellEnd"/>
      <w:r>
        <w:rPr>
          <w:lang w:val="en-US"/>
        </w:rPr>
        <w:t xml:space="preserve"> </w:t>
      </w:r>
      <w:r w:rsidR="00C45711">
        <w:rPr>
          <w:lang w:val="en-US"/>
        </w:rPr>
        <w:t xml:space="preserve">re-visit of a historic reading </w:t>
      </w:r>
      <w:r>
        <w:rPr>
          <w:lang w:val="en-US"/>
        </w:rPr>
        <w:t xml:space="preserve">of the factors that led to the genesis of proof in ancient Greece may contribute in the formation of a didactical framework that may remedy the identified shortcomings. </w:t>
      </w:r>
      <w:r w:rsidRPr="00D71075">
        <w:rPr>
          <w:lang w:val="en-US"/>
        </w:rPr>
        <w:t xml:space="preserve">By utilizing </w:t>
      </w:r>
      <w:proofErr w:type="spellStart"/>
      <w:r w:rsidRPr="00D71075">
        <w:rPr>
          <w:lang w:val="en-US"/>
        </w:rPr>
        <w:t>Husserlian</w:t>
      </w:r>
      <w:proofErr w:type="spellEnd"/>
      <w:r w:rsidRPr="00D71075">
        <w:rPr>
          <w:lang w:val="en-US"/>
        </w:rPr>
        <w:t xml:space="preserve"> ideas as an underlying meaningful </w:t>
      </w:r>
      <w:r w:rsidR="00C45711" w:rsidRPr="00D71075">
        <w:rPr>
          <w:lang w:val="en-US"/>
        </w:rPr>
        <w:t>at</w:t>
      </w:r>
      <w:r w:rsidRPr="00D71075">
        <w:rPr>
          <w:lang w:val="en-US"/>
        </w:rPr>
        <w:t xml:space="preserve">tractor, we synthesized mathematics education research </w:t>
      </w:r>
      <w:r w:rsidR="004E350D" w:rsidRPr="00D71075">
        <w:rPr>
          <w:lang w:val="en-US"/>
        </w:rPr>
        <w:t xml:space="preserve">ideas </w:t>
      </w:r>
      <w:r w:rsidRPr="00D71075">
        <w:rPr>
          <w:lang w:val="en-US"/>
        </w:rPr>
        <w:t xml:space="preserve">to concentrate our </w:t>
      </w:r>
      <w:r w:rsidR="00172D5C" w:rsidRPr="00D71075">
        <w:rPr>
          <w:lang w:val="en-US"/>
        </w:rPr>
        <w:t xml:space="preserve">history </w:t>
      </w:r>
      <w:r w:rsidRPr="00D71075">
        <w:rPr>
          <w:lang w:val="en-US"/>
        </w:rPr>
        <w:t xml:space="preserve">reading </w:t>
      </w:r>
      <w:r w:rsidR="00172D5C" w:rsidRPr="00D71075">
        <w:rPr>
          <w:lang w:val="en-US"/>
        </w:rPr>
        <w:t xml:space="preserve">in key </w:t>
      </w:r>
      <w:r w:rsidRPr="00D71075">
        <w:rPr>
          <w:lang w:val="en-US"/>
        </w:rPr>
        <w:t>ideas</w:t>
      </w:r>
      <w:r w:rsidR="009C31F1" w:rsidRPr="00D71075">
        <w:rPr>
          <w:lang w:val="en-US"/>
        </w:rPr>
        <w:t xml:space="preserve"> that may act as the premises for the reactivation of the </w:t>
      </w:r>
      <w:proofErr w:type="spellStart"/>
      <w:r w:rsidR="009C31F1" w:rsidRPr="00D71075">
        <w:rPr>
          <w:lang w:val="en-US"/>
        </w:rPr>
        <w:t>sedime</w:t>
      </w:r>
      <w:r w:rsidR="00D71075" w:rsidRPr="00D71075">
        <w:rPr>
          <w:lang w:val="en-US"/>
        </w:rPr>
        <w:t>nted</w:t>
      </w:r>
      <w:proofErr w:type="spellEnd"/>
      <w:r w:rsidR="009C31F1" w:rsidRPr="00D71075">
        <w:rPr>
          <w:lang w:val="en-US"/>
        </w:rPr>
        <w:t xml:space="preserve"> socio-cultural tradition within which proof is natural;</w:t>
      </w:r>
      <w:r w:rsidRPr="00D71075">
        <w:rPr>
          <w:lang w:val="en-US"/>
        </w:rPr>
        <w:t xml:space="preserve"> including </w:t>
      </w:r>
      <w:r w:rsidR="00172D5C" w:rsidRPr="00D71075">
        <w:rPr>
          <w:lang w:val="en-US"/>
        </w:rPr>
        <w:t>linguistic</w:t>
      </w:r>
      <w:r w:rsidRPr="00D71075">
        <w:rPr>
          <w:lang w:val="en-US"/>
        </w:rPr>
        <w:t xml:space="preserve"> and semiotic interactions, social interactions, embodied experiences</w:t>
      </w:r>
      <w:r w:rsidR="00172D5C" w:rsidRPr="00D71075">
        <w:rPr>
          <w:lang w:val="en-US"/>
        </w:rPr>
        <w:t>, individual and social lived reality.</w:t>
      </w:r>
      <w:r w:rsidR="00172D5C">
        <w:rPr>
          <w:lang w:val="en-US"/>
        </w:rPr>
        <w:t xml:space="preserve"> Importantly, the </w:t>
      </w:r>
      <w:proofErr w:type="spellStart"/>
      <w:r w:rsidR="00172D5C">
        <w:rPr>
          <w:lang w:val="en-US"/>
        </w:rPr>
        <w:t>Husserlian</w:t>
      </w:r>
      <w:proofErr w:type="spellEnd"/>
      <w:r w:rsidR="00172D5C">
        <w:rPr>
          <w:lang w:val="en-US"/>
        </w:rPr>
        <w:t xml:space="preserve"> ideas allowed the construction of didactical framework, epistemologically coherent, within which the “divergences of the different levels of communication and experience are constantly renegotiated in order to converge to a shared logos of condensed meanings and experiences</w:t>
      </w:r>
      <w:r w:rsidR="00172D5C" w:rsidRPr="003D4DDD">
        <w:rPr>
          <w:lang w:val="en-US"/>
        </w:rPr>
        <w:t>” (</w:t>
      </w:r>
      <w:proofErr w:type="spellStart"/>
      <w:r w:rsidR="00172D5C" w:rsidRPr="003D4DDD">
        <w:rPr>
          <w:lang w:val="en-US"/>
        </w:rPr>
        <w:t>Moutsios-Rentzos</w:t>
      </w:r>
      <w:proofErr w:type="spellEnd"/>
      <w:r w:rsidR="00172D5C" w:rsidRPr="003D4DDD">
        <w:rPr>
          <w:lang w:val="en-US"/>
        </w:rPr>
        <w:t>, in press-a),</w:t>
      </w:r>
      <w:r w:rsidR="00172D5C" w:rsidRPr="00A77560">
        <w:t xml:space="preserve"> </w:t>
      </w:r>
      <w:r w:rsidR="00172D5C">
        <w:t>thus fostering the students’ developing a fully-fledged need for proof (including ‘structure’).</w:t>
      </w:r>
    </w:p>
    <w:p w:rsidR="00A818C2" w:rsidRPr="00412330" w:rsidRDefault="00A818C2" w:rsidP="00AE50C2">
      <w:pPr>
        <w:rPr>
          <w:lang w:val="en-US"/>
        </w:rPr>
      </w:pPr>
    </w:p>
    <w:p w:rsidR="003740B8" w:rsidRDefault="003740B8">
      <w:pPr>
        <w:pStyle w:val="Heading2"/>
      </w:pPr>
      <w:r>
        <w:t>REFERENCES</w:t>
      </w:r>
    </w:p>
    <w:p w:rsidR="00B012CF" w:rsidRPr="00B012CF" w:rsidRDefault="00B012CF" w:rsidP="00A43431">
      <w:pPr>
        <w:pStyle w:val="References"/>
      </w:pPr>
      <w:r>
        <w:t xml:space="preserve">Arendt, H. (1958). </w:t>
      </w:r>
      <w:proofErr w:type="gramStart"/>
      <w:r>
        <w:rPr>
          <w:i/>
        </w:rPr>
        <w:t xml:space="preserve">The </w:t>
      </w:r>
      <w:r w:rsidRPr="00EE5C01">
        <w:rPr>
          <w:i/>
        </w:rPr>
        <w:t>human condition.</w:t>
      </w:r>
      <w:proofErr w:type="gramEnd"/>
      <w:r w:rsidRPr="00EE5C01">
        <w:t xml:space="preserve"> </w:t>
      </w:r>
      <w:r w:rsidR="00EE5C01" w:rsidRPr="00EE5C01">
        <w:t>Chicago</w:t>
      </w:r>
      <w:r w:rsidR="00EE5C01">
        <w:t>: The University of Chicago Press.</w:t>
      </w:r>
    </w:p>
    <w:p w:rsidR="006743A7" w:rsidRDefault="006743A7" w:rsidP="00A43431">
      <w:pPr>
        <w:pStyle w:val="References"/>
      </w:pPr>
      <w:r>
        <w:t xml:space="preserve">Arendt, H. (1961). </w:t>
      </w:r>
      <w:proofErr w:type="gramStart"/>
      <w:r w:rsidRPr="006743A7">
        <w:rPr>
          <w:i/>
        </w:rPr>
        <w:t>Between past and future</w:t>
      </w:r>
      <w:r>
        <w:t>.</w:t>
      </w:r>
      <w:proofErr w:type="gramEnd"/>
      <w:r>
        <w:t xml:space="preserve"> New York: Viking.</w:t>
      </w:r>
    </w:p>
    <w:p w:rsidR="00A43431" w:rsidRPr="00A43431" w:rsidRDefault="00A43431" w:rsidP="00A43431">
      <w:pPr>
        <w:pStyle w:val="References"/>
      </w:pPr>
      <w:r w:rsidRPr="00A43431">
        <w:t xml:space="preserve">Audi, R. (Ed.). </w:t>
      </w:r>
      <w:proofErr w:type="gramStart"/>
      <w:r w:rsidRPr="00A43431">
        <w:t xml:space="preserve">(1999). </w:t>
      </w:r>
      <w:r w:rsidRPr="00A43431">
        <w:rPr>
          <w:i/>
          <w:iCs/>
          <w:lang w:val="en-US"/>
        </w:rPr>
        <w:t xml:space="preserve">Cambridge </w:t>
      </w:r>
      <w:r w:rsidR="0092161C" w:rsidRPr="00A43431">
        <w:rPr>
          <w:i/>
          <w:iCs/>
          <w:lang w:val="en-US"/>
        </w:rPr>
        <w:t>dictionary of philosophy</w:t>
      </w:r>
      <w:r w:rsidRPr="00A43431">
        <w:rPr>
          <w:lang w:val="en-US"/>
        </w:rPr>
        <w:t>.</w:t>
      </w:r>
      <w:proofErr w:type="gramEnd"/>
      <w:r w:rsidRPr="00A43431">
        <w:rPr>
          <w:lang w:val="en-US"/>
        </w:rPr>
        <w:t xml:space="preserve"> Cambridge, UK: Cambridge University Press.</w:t>
      </w:r>
    </w:p>
    <w:p w:rsidR="001B74CB" w:rsidRDefault="001B74CB" w:rsidP="00A43431">
      <w:pPr>
        <w:pStyle w:val="References"/>
      </w:pPr>
      <w:proofErr w:type="gramStart"/>
      <w:r w:rsidRPr="001B74CB">
        <w:t>Ayer, A. J. (1971).</w:t>
      </w:r>
      <w:proofErr w:type="gramEnd"/>
      <w:r w:rsidRPr="001B74CB">
        <w:t xml:space="preserve"> </w:t>
      </w:r>
      <w:proofErr w:type="gramStart"/>
      <w:r w:rsidRPr="001B74CB">
        <w:rPr>
          <w:i/>
        </w:rPr>
        <w:t>Language, truth and logic.</w:t>
      </w:r>
      <w:proofErr w:type="gramEnd"/>
      <w:r w:rsidRPr="001B74CB">
        <w:t xml:space="preserve"> London, UK: Penguin</w:t>
      </w:r>
    </w:p>
    <w:p w:rsidR="00A43431" w:rsidRPr="00A43431" w:rsidRDefault="00A43431" w:rsidP="00A43431">
      <w:pPr>
        <w:pStyle w:val="References"/>
      </w:pPr>
      <w:proofErr w:type="spellStart"/>
      <w:r w:rsidRPr="00A43431">
        <w:t>Balacheff</w:t>
      </w:r>
      <w:proofErr w:type="spellEnd"/>
      <w:r w:rsidRPr="00A43431">
        <w:t xml:space="preserve">, N. (1991). The benefits and limits of social interaction: The case of mathematical proof. In A. Bishop, F. </w:t>
      </w:r>
      <w:proofErr w:type="spellStart"/>
      <w:r w:rsidRPr="00A43431">
        <w:t>Melin</w:t>
      </w:r>
      <w:proofErr w:type="spellEnd"/>
      <w:r w:rsidRPr="00A43431">
        <w:t xml:space="preserve">-Olsen, &amp; J. van </w:t>
      </w:r>
      <w:proofErr w:type="spellStart"/>
      <w:r w:rsidRPr="00A43431">
        <w:t>Dormolen</w:t>
      </w:r>
      <w:proofErr w:type="spellEnd"/>
      <w:r w:rsidRPr="00A43431">
        <w:t xml:space="preserve"> (Eds.), </w:t>
      </w:r>
      <w:r w:rsidRPr="00A43431">
        <w:rPr>
          <w:i/>
          <w:iCs/>
        </w:rPr>
        <w:lastRenderedPageBreak/>
        <w:t xml:space="preserve">Mathematical knowledge: Its growth through teaching </w:t>
      </w:r>
      <w:r w:rsidRPr="00A43431">
        <w:t>(pp. 175-192). Dordrecht: Kluwer.</w:t>
      </w:r>
    </w:p>
    <w:p w:rsidR="009C21D6" w:rsidRPr="00517EE7" w:rsidRDefault="009C21D6" w:rsidP="00EE770D">
      <w:pPr>
        <w:pStyle w:val="References"/>
      </w:pPr>
      <w:proofErr w:type="gramStart"/>
      <w:r w:rsidRPr="00517EE7">
        <w:t>Beth, E. W., &amp; Piaget, J. (1966).</w:t>
      </w:r>
      <w:proofErr w:type="gramEnd"/>
      <w:r w:rsidRPr="00517EE7">
        <w:t xml:space="preserve"> </w:t>
      </w:r>
      <w:proofErr w:type="gramStart"/>
      <w:r w:rsidRPr="00517EE7">
        <w:rPr>
          <w:i/>
        </w:rPr>
        <w:t>Mathematical epistemology and psychology.</w:t>
      </w:r>
      <w:proofErr w:type="gramEnd"/>
      <w:r w:rsidRPr="00517EE7">
        <w:t xml:space="preserve"> Dordrecht: Reidel.</w:t>
      </w:r>
    </w:p>
    <w:p w:rsidR="003E4D6B" w:rsidRDefault="003E4D6B" w:rsidP="00EE770D">
      <w:pPr>
        <w:pStyle w:val="References"/>
      </w:pPr>
      <w:proofErr w:type="spellStart"/>
      <w:r w:rsidRPr="003D4DDD">
        <w:t>Bochenski</w:t>
      </w:r>
      <w:proofErr w:type="spellEnd"/>
      <w:r w:rsidRPr="003D4DDD">
        <w:t xml:space="preserve">, </w:t>
      </w:r>
      <w:r w:rsidR="003D4DDD" w:rsidRPr="003D4DDD">
        <w:t>J</w:t>
      </w:r>
      <w:r w:rsidR="003D4DDD">
        <w:t>. M. (</w:t>
      </w:r>
      <w:r w:rsidR="00EC3E50">
        <w:t>1961</w:t>
      </w:r>
      <w:r w:rsidR="003D4DDD">
        <w:t xml:space="preserve">). </w:t>
      </w:r>
      <w:proofErr w:type="gramStart"/>
      <w:r w:rsidRPr="003D4DDD">
        <w:rPr>
          <w:i/>
        </w:rPr>
        <w:t>History of formal logic</w:t>
      </w:r>
      <w:r w:rsidR="003D4DDD" w:rsidRPr="003D4DDD">
        <w:t>.</w:t>
      </w:r>
      <w:proofErr w:type="gramEnd"/>
      <w:r w:rsidRPr="003D4DDD">
        <w:t xml:space="preserve"> </w:t>
      </w:r>
      <w:r w:rsidR="00EC3E50">
        <w:t xml:space="preserve">Notre Dame, </w:t>
      </w:r>
      <w:proofErr w:type="spellStart"/>
      <w:r w:rsidR="00EC3E50">
        <w:t>Ind</w:t>
      </w:r>
      <w:proofErr w:type="spellEnd"/>
      <w:r w:rsidR="00EC3E50">
        <w:t>: University of Notre Dame Press.</w:t>
      </w:r>
    </w:p>
    <w:p w:rsidR="00EE770D" w:rsidRPr="00EE770D" w:rsidRDefault="00EE770D" w:rsidP="00EE770D">
      <w:pPr>
        <w:pStyle w:val="References"/>
      </w:pPr>
      <w:r w:rsidRPr="00EE770D">
        <w:t xml:space="preserve">Boero, P. (Ed.). (2007). </w:t>
      </w:r>
      <w:r w:rsidRPr="00EE770D">
        <w:rPr>
          <w:i/>
        </w:rPr>
        <w:t>Theorems in school: from history, epistemology and cognition to classroom practice</w:t>
      </w:r>
      <w:r w:rsidRPr="00EE770D">
        <w:t xml:space="preserve">. </w:t>
      </w:r>
      <w:r w:rsidRPr="00EE770D">
        <w:rPr>
          <w:bCs/>
        </w:rPr>
        <w:t>Rotterdam: Sense Publishers.</w:t>
      </w:r>
    </w:p>
    <w:p w:rsidR="00A019E7" w:rsidRPr="00A019E7" w:rsidRDefault="00A019E7" w:rsidP="00A019E7">
      <w:pPr>
        <w:pStyle w:val="References"/>
      </w:pPr>
      <w:proofErr w:type="gramStart"/>
      <w:r w:rsidRPr="00A019E7">
        <w:t xml:space="preserve">Brown, M., Brown, P., &amp; </w:t>
      </w:r>
      <w:proofErr w:type="spellStart"/>
      <w:r w:rsidRPr="00A019E7">
        <w:t>Bibby</w:t>
      </w:r>
      <w:proofErr w:type="spellEnd"/>
      <w:r w:rsidRPr="00A019E7">
        <w:t>, T. (2008).</w:t>
      </w:r>
      <w:proofErr w:type="gramEnd"/>
      <w:r w:rsidRPr="00A019E7">
        <w:t xml:space="preserve"> “I would rather die”: Reasons given by 16-year-olds for not continuing their study of mathematics. </w:t>
      </w:r>
      <w:r w:rsidRPr="00A019E7">
        <w:rPr>
          <w:i/>
          <w:iCs/>
        </w:rPr>
        <w:t>Research in mathematics education</w:t>
      </w:r>
      <w:r w:rsidRPr="00A019E7">
        <w:t xml:space="preserve">, </w:t>
      </w:r>
      <w:r w:rsidRPr="00A019E7">
        <w:rPr>
          <w:i/>
          <w:iCs/>
        </w:rPr>
        <w:t>10</w:t>
      </w:r>
      <w:r w:rsidRPr="00A019E7">
        <w:t>(1), 3-18.</w:t>
      </w:r>
    </w:p>
    <w:p w:rsidR="001B74CB" w:rsidRPr="00D71075" w:rsidRDefault="001B74CB" w:rsidP="00C2009F">
      <w:pPr>
        <w:pStyle w:val="References"/>
        <w:rPr>
          <w:lang w:val="fr-FR"/>
        </w:rPr>
      </w:pPr>
      <w:r w:rsidRPr="001B74CB">
        <w:t xml:space="preserve">Derrida, J. (1989). </w:t>
      </w:r>
      <w:r w:rsidRPr="001B74CB">
        <w:rPr>
          <w:i/>
        </w:rPr>
        <w:t>Edmund Husserl’s Origin of Geometry: An Introduction</w:t>
      </w:r>
      <w:r w:rsidRPr="001B74CB">
        <w:t xml:space="preserve"> (J. P. </w:t>
      </w:r>
      <w:proofErr w:type="spellStart"/>
      <w:r w:rsidRPr="001B74CB">
        <w:t>Leavey</w:t>
      </w:r>
      <w:proofErr w:type="spellEnd"/>
      <w:r w:rsidRPr="001B74CB">
        <w:t xml:space="preserve">, Trans.). </w:t>
      </w:r>
      <w:r w:rsidRPr="00D71075">
        <w:rPr>
          <w:lang w:val="fr-FR"/>
        </w:rPr>
        <w:t>Lincoln: Bison/</w:t>
      </w:r>
      <w:proofErr w:type="spellStart"/>
      <w:r w:rsidRPr="00D71075">
        <w:rPr>
          <w:lang w:val="fr-FR"/>
        </w:rPr>
        <w:t>University</w:t>
      </w:r>
      <w:proofErr w:type="spellEnd"/>
      <w:r w:rsidRPr="00D71075">
        <w:rPr>
          <w:lang w:val="fr-FR"/>
        </w:rPr>
        <w:t xml:space="preserve"> of Nebraska </w:t>
      </w:r>
      <w:proofErr w:type="spellStart"/>
      <w:r w:rsidRPr="00D71075">
        <w:rPr>
          <w:lang w:val="fr-FR"/>
        </w:rPr>
        <w:t>Press</w:t>
      </w:r>
      <w:proofErr w:type="spellEnd"/>
      <w:r w:rsidRPr="00D71075">
        <w:rPr>
          <w:lang w:val="fr-FR"/>
        </w:rPr>
        <w:t>.</w:t>
      </w:r>
    </w:p>
    <w:p w:rsidR="00C2009F" w:rsidRPr="003576D3" w:rsidRDefault="00C2009F" w:rsidP="00C2009F">
      <w:pPr>
        <w:pStyle w:val="References"/>
      </w:pPr>
      <w:proofErr w:type="spellStart"/>
      <w:r w:rsidRPr="00D71075">
        <w:rPr>
          <w:lang w:val="fr-FR"/>
        </w:rPr>
        <w:t>Godelier</w:t>
      </w:r>
      <w:proofErr w:type="spellEnd"/>
      <w:r w:rsidRPr="00D71075">
        <w:rPr>
          <w:lang w:val="fr-FR"/>
        </w:rPr>
        <w:t>, M. (</w:t>
      </w:r>
      <w:r w:rsidR="003576D3" w:rsidRPr="00D71075">
        <w:rPr>
          <w:lang w:val="fr-FR"/>
        </w:rPr>
        <w:t>1969</w:t>
      </w:r>
      <w:r w:rsidRPr="00D71075">
        <w:rPr>
          <w:lang w:val="fr-FR"/>
        </w:rPr>
        <w:t>).</w:t>
      </w:r>
      <w:r w:rsidR="003D4DDD" w:rsidRPr="00D71075">
        <w:rPr>
          <w:lang w:val="fr-FR"/>
        </w:rPr>
        <w:t xml:space="preserve"> </w:t>
      </w:r>
      <w:r w:rsidR="003576D3" w:rsidRPr="003576D3">
        <w:rPr>
          <w:i/>
          <w:lang w:val="fr-FR"/>
        </w:rPr>
        <w:t>La notion de mode de production asiatique et les schémas marxistes d'évolution des sociétés</w:t>
      </w:r>
      <w:r w:rsidR="003576D3" w:rsidRPr="00D71075">
        <w:rPr>
          <w:lang w:val="fr-FR"/>
        </w:rPr>
        <w:t xml:space="preserve">. </w:t>
      </w:r>
      <w:r w:rsidR="003576D3" w:rsidRPr="003576D3">
        <w:t>Paris: C.E.R.M.</w:t>
      </w:r>
    </w:p>
    <w:p w:rsidR="00090846" w:rsidRPr="00090846" w:rsidRDefault="00090846" w:rsidP="00C2009F">
      <w:pPr>
        <w:pStyle w:val="References"/>
        <w:rPr>
          <w:i/>
        </w:rPr>
      </w:pPr>
      <w:proofErr w:type="spellStart"/>
      <w:proofErr w:type="gramStart"/>
      <w:r>
        <w:t>Godelier</w:t>
      </w:r>
      <w:proofErr w:type="spellEnd"/>
      <w:r>
        <w:t>, M. (1977).</w:t>
      </w:r>
      <w:proofErr w:type="gramEnd"/>
      <w:r>
        <w:t xml:space="preserve"> </w:t>
      </w:r>
      <w:proofErr w:type="gramStart"/>
      <w:r>
        <w:rPr>
          <w:i/>
        </w:rPr>
        <w:t>Perspectives in Marxist anthropology</w:t>
      </w:r>
      <w:r>
        <w:t>.</w:t>
      </w:r>
      <w:proofErr w:type="gramEnd"/>
      <w:r>
        <w:t xml:space="preserve"> London: Cambridge University Press.</w:t>
      </w:r>
    </w:p>
    <w:p w:rsidR="00A43431" w:rsidRPr="00A43431" w:rsidRDefault="00A43431" w:rsidP="00C2009F">
      <w:pPr>
        <w:pStyle w:val="References"/>
        <w:rPr>
          <w:lang w:val="en-AU"/>
        </w:rPr>
      </w:pPr>
      <w:proofErr w:type="spellStart"/>
      <w:r w:rsidRPr="00A43431">
        <w:t>Grabiner</w:t>
      </w:r>
      <w:proofErr w:type="spellEnd"/>
      <w:r w:rsidRPr="00A43431">
        <w:t xml:space="preserve">, J. V. (2012). </w:t>
      </w:r>
      <w:r w:rsidRPr="00A43431">
        <w:rPr>
          <w:bCs/>
        </w:rPr>
        <w:t xml:space="preserve">Why proof? </w:t>
      </w:r>
      <w:proofErr w:type="gramStart"/>
      <w:r w:rsidRPr="00A43431">
        <w:rPr>
          <w:bCs/>
        </w:rPr>
        <w:t>A historian’s perspective</w:t>
      </w:r>
      <w:r w:rsidRPr="00A43431">
        <w:rPr>
          <w:i/>
        </w:rPr>
        <w:t>.</w:t>
      </w:r>
      <w:proofErr w:type="gramEnd"/>
      <w:r w:rsidRPr="00A43431">
        <w:t xml:space="preserve"> </w:t>
      </w:r>
      <w:proofErr w:type="gramStart"/>
      <w:r w:rsidRPr="00A43431">
        <w:t xml:space="preserve">In G. Hanna and M. de Villiers (Eds.), </w:t>
      </w:r>
      <w:r w:rsidRPr="00A43431">
        <w:rPr>
          <w:i/>
        </w:rPr>
        <w:t>Proof and proving in mathematics education</w:t>
      </w:r>
      <w:r w:rsidRPr="00A43431">
        <w:t xml:space="preserve"> (pp. 147-168).</w:t>
      </w:r>
      <w:proofErr w:type="gramEnd"/>
      <w:r w:rsidRPr="00A43431">
        <w:t xml:space="preserve"> New York: Springer.</w:t>
      </w:r>
    </w:p>
    <w:p w:rsidR="00A43431" w:rsidRPr="00A43431" w:rsidRDefault="00A43431" w:rsidP="00A43431">
      <w:pPr>
        <w:pStyle w:val="References"/>
      </w:pPr>
      <w:r w:rsidRPr="00A43431">
        <w:t xml:space="preserve">Hanna, G. (2000). Proof, explanation, and exploration: An overview. </w:t>
      </w:r>
      <w:r w:rsidRPr="00A43431">
        <w:rPr>
          <w:i/>
          <w:iCs/>
        </w:rPr>
        <w:t xml:space="preserve">Educational </w:t>
      </w:r>
      <w:r w:rsidR="00ED4D1B">
        <w:rPr>
          <w:i/>
          <w:iCs/>
        </w:rPr>
        <w:t>S</w:t>
      </w:r>
      <w:r w:rsidR="0092161C" w:rsidRPr="00A43431">
        <w:rPr>
          <w:i/>
          <w:iCs/>
        </w:rPr>
        <w:t xml:space="preserve">tudies in </w:t>
      </w:r>
      <w:r w:rsidR="00ED4D1B">
        <w:rPr>
          <w:i/>
          <w:iCs/>
        </w:rPr>
        <w:t>M</w:t>
      </w:r>
      <w:r w:rsidR="0092161C" w:rsidRPr="00A43431">
        <w:rPr>
          <w:i/>
          <w:iCs/>
        </w:rPr>
        <w:t>athematics</w:t>
      </w:r>
      <w:r w:rsidRPr="00A43431">
        <w:rPr>
          <w:i/>
          <w:iCs/>
        </w:rPr>
        <w:t>, 44</w:t>
      </w:r>
      <w:r w:rsidRPr="00A43431">
        <w:t>, 5-23.</w:t>
      </w:r>
    </w:p>
    <w:p w:rsidR="00A019E7" w:rsidRDefault="00A019E7" w:rsidP="00A43431">
      <w:pPr>
        <w:pStyle w:val="References"/>
      </w:pPr>
      <w:r w:rsidRPr="00A019E7">
        <w:t>H</w:t>
      </w:r>
      <w:r>
        <w:t xml:space="preserve">ealy, J. M. (1999). </w:t>
      </w:r>
      <w:proofErr w:type="gramStart"/>
      <w:r w:rsidRPr="00A019E7">
        <w:rPr>
          <w:i/>
        </w:rPr>
        <w:t>Endangered minds</w:t>
      </w:r>
      <w:r w:rsidRPr="00A019E7">
        <w:t>.</w:t>
      </w:r>
      <w:proofErr w:type="gramEnd"/>
      <w:r w:rsidRPr="00A019E7">
        <w:t xml:space="preserve"> New York: Touchstone</w:t>
      </w:r>
      <w:r>
        <w:t>.</w:t>
      </w:r>
    </w:p>
    <w:p w:rsidR="00A43431" w:rsidRPr="00A43431" w:rsidRDefault="00A43431" w:rsidP="00A43431">
      <w:pPr>
        <w:pStyle w:val="References"/>
        <w:rPr>
          <w:lang w:val="en-AU"/>
        </w:rPr>
      </w:pPr>
      <w:proofErr w:type="gramStart"/>
      <w:r w:rsidRPr="00A43431">
        <w:t xml:space="preserve">Healy, L., &amp; </w:t>
      </w:r>
      <w:proofErr w:type="spellStart"/>
      <w:r w:rsidRPr="00A43431">
        <w:t>Hoyles</w:t>
      </w:r>
      <w:proofErr w:type="spellEnd"/>
      <w:r w:rsidRPr="00A43431">
        <w:t>, C. (2000).</w:t>
      </w:r>
      <w:proofErr w:type="gramEnd"/>
      <w:r w:rsidRPr="00A43431">
        <w:t xml:space="preserve"> </w:t>
      </w:r>
      <w:proofErr w:type="gramStart"/>
      <w:r w:rsidRPr="00A43431">
        <w:t>A study of proof conceptions in algebra.</w:t>
      </w:r>
      <w:proofErr w:type="gramEnd"/>
      <w:r w:rsidRPr="00A43431">
        <w:t xml:space="preserve"> </w:t>
      </w:r>
      <w:r w:rsidRPr="00A43431">
        <w:rPr>
          <w:i/>
          <w:iCs/>
        </w:rPr>
        <w:t xml:space="preserve">Journal for Research in </w:t>
      </w:r>
      <w:r w:rsidR="00ED4D1B">
        <w:rPr>
          <w:i/>
          <w:iCs/>
        </w:rPr>
        <w:t>M</w:t>
      </w:r>
      <w:r w:rsidR="0092161C" w:rsidRPr="00A43431">
        <w:rPr>
          <w:i/>
          <w:iCs/>
        </w:rPr>
        <w:t xml:space="preserve">athematics </w:t>
      </w:r>
      <w:r w:rsidR="00ED4D1B">
        <w:rPr>
          <w:i/>
          <w:iCs/>
        </w:rPr>
        <w:t>E</w:t>
      </w:r>
      <w:r w:rsidRPr="00A43431">
        <w:rPr>
          <w:i/>
          <w:iCs/>
        </w:rPr>
        <w:t>ducation, 31</w:t>
      </w:r>
      <w:r w:rsidRPr="00A43431">
        <w:t>, 396-428.</w:t>
      </w:r>
    </w:p>
    <w:p w:rsidR="00A43431" w:rsidRPr="00A43431" w:rsidRDefault="00A43431" w:rsidP="00A43431">
      <w:pPr>
        <w:pStyle w:val="References"/>
        <w:rPr>
          <w:lang w:val="en-US"/>
        </w:rPr>
      </w:pPr>
      <w:r w:rsidRPr="00A43431">
        <w:rPr>
          <w:lang w:val="en-US"/>
        </w:rPr>
        <w:t xml:space="preserve">Husserl, E. (1974). </w:t>
      </w:r>
      <w:proofErr w:type="gramStart"/>
      <w:r w:rsidRPr="00A43431">
        <w:rPr>
          <w:lang w:val="en-US"/>
        </w:rPr>
        <w:t>Kant and the idea of transcendental philosophy.</w:t>
      </w:r>
      <w:proofErr w:type="gramEnd"/>
      <w:r w:rsidRPr="00A43431">
        <w:rPr>
          <w:lang w:val="en-US"/>
        </w:rPr>
        <w:t xml:space="preserve"> </w:t>
      </w:r>
      <w:r w:rsidRPr="00A43431">
        <w:rPr>
          <w:i/>
          <w:iCs/>
          <w:lang w:val="en-US"/>
        </w:rPr>
        <w:t xml:space="preserve">Southwestern Journal of </w:t>
      </w:r>
      <w:r w:rsidR="00ED4D1B">
        <w:rPr>
          <w:i/>
          <w:iCs/>
          <w:lang w:val="en-US"/>
        </w:rPr>
        <w:t>P</w:t>
      </w:r>
      <w:r w:rsidR="0092161C" w:rsidRPr="00A43431">
        <w:rPr>
          <w:i/>
          <w:iCs/>
          <w:lang w:val="en-US"/>
        </w:rPr>
        <w:t>hil</w:t>
      </w:r>
      <w:r w:rsidRPr="00A43431">
        <w:rPr>
          <w:i/>
          <w:iCs/>
          <w:lang w:val="en-US"/>
        </w:rPr>
        <w:t>osophy,</w:t>
      </w:r>
      <w:r w:rsidRPr="00A43431">
        <w:rPr>
          <w:lang w:val="en-US"/>
        </w:rPr>
        <w:t xml:space="preserve"> </w:t>
      </w:r>
      <w:r w:rsidRPr="00A43431">
        <w:rPr>
          <w:i/>
          <w:lang w:val="en-US"/>
        </w:rPr>
        <w:t>5</w:t>
      </w:r>
      <w:r w:rsidRPr="00A43431">
        <w:rPr>
          <w:lang w:val="en-US"/>
        </w:rPr>
        <w:t>(3), 9-56.</w:t>
      </w:r>
    </w:p>
    <w:p w:rsidR="00A43431" w:rsidRPr="00A43431" w:rsidRDefault="00A43431" w:rsidP="00A43431">
      <w:pPr>
        <w:pStyle w:val="References"/>
      </w:pPr>
      <w:r w:rsidRPr="00A43431">
        <w:t xml:space="preserve">Husserl, E. (2001). </w:t>
      </w:r>
      <w:proofErr w:type="gramStart"/>
      <w:r w:rsidR="0092161C">
        <w:rPr>
          <w:i/>
        </w:rPr>
        <w:t>Logical i</w:t>
      </w:r>
      <w:r w:rsidRPr="00A43431">
        <w:rPr>
          <w:i/>
        </w:rPr>
        <w:t>nvestigations</w:t>
      </w:r>
      <w:r w:rsidRPr="00A43431">
        <w:t xml:space="preserve"> (J. N. Findlay, Trans.).</w:t>
      </w:r>
      <w:proofErr w:type="gramEnd"/>
      <w:r w:rsidRPr="00A43431">
        <w:t xml:space="preserve"> London &amp; New York: Routledge.</w:t>
      </w:r>
    </w:p>
    <w:p w:rsidR="00A43431" w:rsidRPr="00A43431" w:rsidRDefault="00A43431" w:rsidP="00A43431">
      <w:pPr>
        <w:pStyle w:val="References"/>
      </w:pPr>
      <w:r w:rsidRPr="00A43431">
        <w:t xml:space="preserve">Katz, V. J. (2009). </w:t>
      </w:r>
      <w:r w:rsidRPr="00A43431">
        <w:rPr>
          <w:i/>
          <w:iCs/>
        </w:rPr>
        <w:t>A history of mathematics: An introduction</w:t>
      </w:r>
      <w:r w:rsidRPr="00A43431">
        <w:t>. Boston: Addison-Wesley.</w:t>
      </w:r>
    </w:p>
    <w:p w:rsidR="00A43431" w:rsidRPr="00A43431" w:rsidRDefault="00A43431" w:rsidP="00A43431">
      <w:pPr>
        <w:pStyle w:val="References"/>
      </w:pPr>
      <w:r w:rsidRPr="00A43431">
        <w:t xml:space="preserve">Klein, J. (1940). </w:t>
      </w:r>
      <w:proofErr w:type="gramStart"/>
      <w:r w:rsidRPr="00A43431">
        <w:t>Phenomenology and the history of science.</w:t>
      </w:r>
      <w:proofErr w:type="gramEnd"/>
      <w:r w:rsidRPr="00A43431">
        <w:t xml:space="preserve"> In Marvin Farber (Ed.), </w:t>
      </w:r>
      <w:r w:rsidRPr="00A43431">
        <w:rPr>
          <w:i/>
          <w:lang w:val="en-US"/>
        </w:rPr>
        <w:t xml:space="preserve">Philosophical </w:t>
      </w:r>
      <w:r w:rsidR="00F070EE" w:rsidRPr="00A43431">
        <w:rPr>
          <w:i/>
          <w:lang w:val="en-US"/>
        </w:rPr>
        <w:t>essays in memory of Edmund Husserl</w:t>
      </w:r>
      <w:r w:rsidR="00F070EE" w:rsidRPr="00A43431">
        <w:rPr>
          <w:lang w:val="en-US"/>
        </w:rPr>
        <w:t xml:space="preserve"> </w:t>
      </w:r>
      <w:r w:rsidRPr="00A43431">
        <w:rPr>
          <w:lang w:val="en-US"/>
        </w:rPr>
        <w:t>(pp. 143-163). Cambridge, MA: Harvard University Press.</w:t>
      </w:r>
    </w:p>
    <w:p w:rsidR="003E4D6B" w:rsidRDefault="003E4D6B" w:rsidP="00CB65F8">
      <w:pPr>
        <w:pStyle w:val="References"/>
      </w:pPr>
      <w:proofErr w:type="spellStart"/>
      <w:proofErr w:type="gramStart"/>
      <w:r w:rsidRPr="001A7D1D">
        <w:t>Kneale</w:t>
      </w:r>
      <w:proofErr w:type="spellEnd"/>
      <w:r w:rsidR="00EC3E50" w:rsidRPr="001A7D1D">
        <w:t>, W.</w:t>
      </w:r>
      <w:r w:rsidR="00EE5C01" w:rsidRPr="001A7D1D">
        <w:t xml:space="preserve"> C.</w:t>
      </w:r>
      <w:r w:rsidR="00EC3E50" w:rsidRPr="001A7D1D">
        <w:t>,</w:t>
      </w:r>
      <w:r w:rsidRPr="001A7D1D">
        <w:t xml:space="preserve"> &amp; </w:t>
      </w:r>
      <w:proofErr w:type="spellStart"/>
      <w:r w:rsidRPr="001A7D1D">
        <w:t>Kneale</w:t>
      </w:r>
      <w:proofErr w:type="spellEnd"/>
      <w:r w:rsidRPr="001A7D1D">
        <w:t xml:space="preserve">, </w:t>
      </w:r>
      <w:r w:rsidR="00EC3E50" w:rsidRPr="001A7D1D">
        <w:t>M. (</w:t>
      </w:r>
      <w:r w:rsidRPr="001A7D1D">
        <w:t>1985</w:t>
      </w:r>
      <w:r w:rsidR="00EC3E50" w:rsidRPr="001A7D1D">
        <w:t>).</w:t>
      </w:r>
      <w:proofErr w:type="gramEnd"/>
      <w:r w:rsidRPr="001A7D1D">
        <w:t xml:space="preserve"> </w:t>
      </w:r>
      <w:proofErr w:type="gramStart"/>
      <w:r w:rsidRPr="001A7D1D">
        <w:rPr>
          <w:i/>
        </w:rPr>
        <w:t>The</w:t>
      </w:r>
      <w:r w:rsidR="00EC3E50" w:rsidRPr="001A7D1D">
        <w:rPr>
          <w:i/>
        </w:rPr>
        <w:t xml:space="preserve"> development of l</w:t>
      </w:r>
      <w:r w:rsidRPr="001A7D1D">
        <w:rPr>
          <w:i/>
        </w:rPr>
        <w:t>ogic</w:t>
      </w:r>
      <w:r w:rsidR="00EC3E50" w:rsidRPr="001A7D1D">
        <w:t>.</w:t>
      </w:r>
      <w:proofErr w:type="gramEnd"/>
      <w:r w:rsidRPr="001A7D1D">
        <w:t xml:space="preserve"> </w:t>
      </w:r>
      <w:r w:rsidR="00A71D8F" w:rsidRPr="001A7D1D">
        <w:t xml:space="preserve">London: </w:t>
      </w:r>
      <w:r w:rsidR="00EE5C01" w:rsidRPr="001A7D1D">
        <w:t>Oxford</w:t>
      </w:r>
      <w:r w:rsidR="00A71D8F" w:rsidRPr="001A7D1D">
        <w:t xml:space="preserve"> University Press.</w:t>
      </w:r>
      <w:r w:rsidR="00EE5C01">
        <w:t xml:space="preserve"> </w:t>
      </w:r>
    </w:p>
    <w:p w:rsidR="00CB65F8" w:rsidRPr="00CB65F8" w:rsidRDefault="00CB65F8" w:rsidP="00CB65F8">
      <w:pPr>
        <w:pStyle w:val="References"/>
        <w:rPr>
          <w:bCs/>
          <w:iCs/>
        </w:rPr>
      </w:pPr>
      <w:proofErr w:type="spellStart"/>
      <w:proofErr w:type="gramStart"/>
      <w:r w:rsidRPr="00CB65F8">
        <w:rPr>
          <w:bCs/>
          <w:iCs/>
        </w:rPr>
        <w:lastRenderedPageBreak/>
        <w:t>Lakoff</w:t>
      </w:r>
      <w:proofErr w:type="spellEnd"/>
      <w:r w:rsidRPr="00CB65F8">
        <w:rPr>
          <w:bCs/>
          <w:iCs/>
        </w:rPr>
        <w:t xml:space="preserve">, G., &amp; </w:t>
      </w:r>
      <w:proofErr w:type="spellStart"/>
      <w:r w:rsidRPr="00CB65F8">
        <w:rPr>
          <w:bCs/>
          <w:iCs/>
        </w:rPr>
        <w:t>Núñez</w:t>
      </w:r>
      <w:proofErr w:type="spellEnd"/>
      <w:r w:rsidRPr="00CB65F8">
        <w:rPr>
          <w:bCs/>
          <w:iCs/>
        </w:rPr>
        <w:t>, R. (2000).</w:t>
      </w:r>
      <w:proofErr w:type="gramEnd"/>
      <w:r w:rsidRPr="00CB65F8">
        <w:rPr>
          <w:bCs/>
          <w:iCs/>
        </w:rPr>
        <w:t xml:space="preserve"> </w:t>
      </w:r>
      <w:proofErr w:type="gramStart"/>
      <w:r w:rsidRPr="00CB65F8">
        <w:rPr>
          <w:bCs/>
          <w:i/>
          <w:iCs/>
        </w:rPr>
        <w:t>Where mathematics comes from.</w:t>
      </w:r>
      <w:proofErr w:type="gramEnd"/>
      <w:r w:rsidRPr="00CB65F8">
        <w:rPr>
          <w:bCs/>
          <w:i/>
          <w:iCs/>
        </w:rPr>
        <w:t xml:space="preserve"> </w:t>
      </w:r>
      <w:r w:rsidRPr="00CB65F8">
        <w:rPr>
          <w:bCs/>
          <w:iCs/>
        </w:rPr>
        <w:t>New York: Basic Books.</w:t>
      </w:r>
    </w:p>
    <w:p w:rsidR="001B74CB" w:rsidRDefault="001B74CB" w:rsidP="00A43431">
      <w:pPr>
        <w:pStyle w:val="References"/>
      </w:pPr>
      <w:proofErr w:type="spellStart"/>
      <w:proofErr w:type="gramStart"/>
      <w:r w:rsidRPr="001B74CB">
        <w:t>Lappas</w:t>
      </w:r>
      <w:proofErr w:type="spellEnd"/>
      <w:r w:rsidRPr="001B74CB">
        <w:t xml:space="preserve">, D., &amp; </w:t>
      </w:r>
      <w:proofErr w:type="spellStart"/>
      <w:r w:rsidRPr="001B74CB">
        <w:t>Spyrou</w:t>
      </w:r>
      <w:proofErr w:type="spellEnd"/>
      <w:r w:rsidRPr="001B74CB">
        <w:t>, P. (2006).</w:t>
      </w:r>
      <w:proofErr w:type="gramEnd"/>
      <w:r w:rsidRPr="001B74CB">
        <w:t xml:space="preserve"> A reading of Euclid’s elements as embodied mathematics and its educational implications. </w:t>
      </w:r>
      <w:proofErr w:type="gramStart"/>
      <w:r w:rsidRPr="001B74CB">
        <w:rPr>
          <w:i/>
          <w:iCs/>
        </w:rPr>
        <w:t>The Mediterranean journal for research in mathematics education, 5</w:t>
      </w:r>
      <w:r w:rsidRPr="001B74CB">
        <w:t>(1), 1-16</w:t>
      </w:r>
      <w:r>
        <w:t>.</w:t>
      </w:r>
      <w:proofErr w:type="gramEnd"/>
    </w:p>
    <w:p w:rsidR="00D801BD" w:rsidRDefault="00D801BD" w:rsidP="00A43431">
      <w:pPr>
        <w:pStyle w:val="References"/>
      </w:pPr>
      <w:proofErr w:type="spellStart"/>
      <w:proofErr w:type="gramStart"/>
      <w:r w:rsidRPr="00D71075">
        <w:t>Merfeld</w:t>
      </w:r>
      <w:proofErr w:type="spellEnd"/>
      <w:r w:rsidRPr="00D71075">
        <w:t xml:space="preserve">, D. M., </w:t>
      </w:r>
      <w:proofErr w:type="spellStart"/>
      <w:r w:rsidRPr="00D71075">
        <w:t>Zupan</w:t>
      </w:r>
      <w:proofErr w:type="spellEnd"/>
      <w:r w:rsidRPr="00D71075">
        <w:t xml:space="preserve">, L., &amp; </w:t>
      </w:r>
      <w:proofErr w:type="spellStart"/>
      <w:r w:rsidRPr="00D71075">
        <w:t>Peterka</w:t>
      </w:r>
      <w:proofErr w:type="spellEnd"/>
      <w:r w:rsidRPr="00D71075">
        <w:t>, R. J. (1999).</w:t>
      </w:r>
      <w:proofErr w:type="gramEnd"/>
      <w:r w:rsidRPr="00D71075">
        <w:t xml:space="preserve"> </w:t>
      </w:r>
      <w:r w:rsidRPr="00D801BD">
        <w:t xml:space="preserve">Humans use internal models to estimate gravity and linear acceleration. </w:t>
      </w:r>
      <w:r w:rsidRPr="00D801BD">
        <w:rPr>
          <w:i/>
        </w:rPr>
        <w:t>Nature, 398,</w:t>
      </w:r>
      <w:r w:rsidRPr="00D801BD">
        <w:t xml:space="preserve"> 615-618.</w:t>
      </w:r>
    </w:p>
    <w:p w:rsidR="009C4094" w:rsidRPr="006246C6" w:rsidRDefault="009C4094" w:rsidP="00A43431">
      <w:pPr>
        <w:pStyle w:val="References"/>
      </w:pPr>
      <w:proofErr w:type="spellStart"/>
      <w:r w:rsidRPr="009C4094">
        <w:t>Moutsios-Rentzos</w:t>
      </w:r>
      <w:proofErr w:type="spellEnd"/>
      <w:r w:rsidRPr="009C4094">
        <w:t xml:space="preserve">, A. (2009). </w:t>
      </w:r>
      <w:proofErr w:type="gramStart"/>
      <w:r w:rsidRPr="009C4094">
        <w:rPr>
          <w:i/>
          <w:iCs/>
        </w:rPr>
        <w:t>Styles and strategies in exam-type questions.</w:t>
      </w:r>
      <w:proofErr w:type="gramEnd"/>
      <w:r w:rsidRPr="009C4094">
        <w:t xml:space="preserve"> In M. </w:t>
      </w:r>
      <w:proofErr w:type="spellStart"/>
      <w:r w:rsidRPr="009C4094">
        <w:t>Tzekaki</w:t>
      </w:r>
      <w:proofErr w:type="spellEnd"/>
      <w:r w:rsidRPr="009C4094">
        <w:t xml:space="preserve">, M. </w:t>
      </w:r>
      <w:proofErr w:type="spellStart"/>
      <w:r w:rsidRPr="009C4094">
        <w:t>Kaldrimidou</w:t>
      </w:r>
      <w:proofErr w:type="spellEnd"/>
      <w:r w:rsidRPr="009C4094">
        <w:t xml:space="preserve"> &amp; H. </w:t>
      </w:r>
      <w:proofErr w:type="spellStart"/>
      <w:r w:rsidRPr="009C4094">
        <w:t>Sakonidis</w:t>
      </w:r>
      <w:proofErr w:type="spellEnd"/>
      <w:r w:rsidRPr="009C4094">
        <w:t xml:space="preserve"> (Eds.), Proceedings of the 33rd Conference of the International Group for the Psychology of Mathematics Education (Vol. 4, pp. 145-152). Thessaloniki</w:t>
      </w:r>
      <w:r w:rsidRPr="006246C6">
        <w:t xml:space="preserve">, </w:t>
      </w:r>
      <w:r w:rsidRPr="009C4094">
        <w:t>Greece</w:t>
      </w:r>
      <w:r w:rsidRPr="006246C6">
        <w:t xml:space="preserve">: </w:t>
      </w:r>
      <w:r w:rsidRPr="009C4094">
        <w:t>PME</w:t>
      </w:r>
      <w:r w:rsidRPr="006246C6">
        <w:t>.</w:t>
      </w:r>
    </w:p>
    <w:p w:rsidR="00412330" w:rsidRDefault="00412330" w:rsidP="00A43431">
      <w:pPr>
        <w:pStyle w:val="References"/>
      </w:pPr>
      <w:proofErr w:type="spellStart"/>
      <w:proofErr w:type="gramStart"/>
      <w:r w:rsidRPr="00EE770D">
        <w:t>Moutsios-Rentzos</w:t>
      </w:r>
      <w:proofErr w:type="spellEnd"/>
      <w:r w:rsidRPr="00EE770D">
        <w:t>, A.</w:t>
      </w:r>
      <w:r>
        <w:t xml:space="preserve"> </w:t>
      </w:r>
      <w:r w:rsidRPr="00EE770D">
        <w:t>(</w:t>
      </w:r>
      <w:r>
        <w:t>in press</w:t>
      </w:r>
      <w:r w:rsidR="003C7AC1">
        <w:t>-a</w:t>
      </w:r>
      <w:r w:rsidRPr="00EE770D">
        <w:t>).</w:t>
      </w:r>
      <w:proofErr w:type="gramEnd"/>
      <w:r w:rsidRPr="00EE770D">
        <w:t xml:space="preserve"> </w:t>
      </w:r>
      <w:r w:rsidRPr="00B64482">
        <w:rPr>
          <w:lang w:val="el-GR"/>
        </w:rPr>
        <w:t>Η</w:t>
      </w:r>
      <w:r w:rsidRPr="007D4416">
        <w:t xml:space="preserve"> </w:t>
      </w:r>
      <w:r w:rsidRPr="00B64482">
        <w:rPr>
          <w:lang w:val="el-GR"/>
        </w:rPr>
        <w:t>σχέση</w:t>
      </w:r>
      <w:r w:rsidRPr="007D4416">
        <w:t xml:space="preserve"> </w:t>
      </w:r>
      <w:r w:rsidRPr="00B64482">
        <w:rPr>
          <w:lang w:val="el-GR"/>
        </w:rPr>
        <w:t>θεωρίας</w:t>
      </w:r>
      <w:r w:rsidRPr="007D4416">
        <w:t xml:space="preserve"> </w:t>
      </w:r>
      <w:r w:rsidRPr="00B64482">
        <w:rPr>
          <w:lang w:val="el-GR"/>
        </w:rPr>
        <w:t>και</w:t>
      </w:r>
      <w:r w:rsidRPr="007D4416">
        <w:t xml:space="preserve"> </w:t>
      </w:r>
      <w:r w:rsidRPr="00B64482">
        <w:rPr>
          <w:lang w:val="el-GR"/>
        </w:rPr>
        <w:t>υλικού</w:t>
      </w:r>
      <w:r w:rsidRPr="007D4416">
        <w:t xml:space="preserve"> </w:t>
      </w:r>
      <w:r w:rsidRPr="00B64482">
        <w:rPr>
          <w:lang w:val="el-GR"/>
        </w:rPr>
        <w:t>στο</w:t>
      </w:r>
      <w:r w:rsidRPr="007D4416">
        <w:t xml:space="preserve"> </w:t>
      </w:r>
      <w:r w:rsidRPr="00B64482">
        <w:rPr>
          <w:lang w:val="el-GR"/>
        </w:rPr>
        <w:t>σχεδιασμό</w:t>
      </w:r>
      <w:r w:rsidRPr="007D4416">
        <w:t xml:space="preserve"> </w:t>
      </w:r>
      <w:r w:rsidRPr="00B64482">
        <w:rPr>
          <w:lang w:val="el-GR"/>
        </w:rPr>
        <w:t>μιας</w:t>
      </w:r>
      <w:r w:rsidRPr="007D4416">
        <w:t xml:space="preserve"> </w:t>
      </w:r>
      <w:r w:rsidRPr="00B64482">
        <w:rPr>
          <w:lang w:val="el-GR"/>
        </w:rPr>
        <w:t>πρότασης</w:t>
      </w:r>
      <w:r w:rsidRPr="007D4416">
        <w:t xml:space="preserve"> </w:t>
      </w:r>
      <w:r w:rsidRPr="00B64482">
        <w:rPr>
          <w:lang w:val="el-GR"/>
        </w:rPr>
        <w:t>για</w:t>
      </w:r>
      <w:r w:rsidRPr="007D4416">
        <w:t xml:space="preserve"> </w:t>
      </w:r>
      <w:r w:rsidRPr="00B64482">
        <w:rPr>
          <w:lang w:val="el-GR"/>
        </w:rPr>
        <w:t>τη</w:t>
      </w:r>
      <w:r w:rsidRPr="007D4416">
        <w:t xml:space="preserve"> </w:t>
      </w:r>
      <w:r w:rsidRPr="00B64482">
        <w:rPr>
          <w:lang w:val="el-GR"/>
        </w:rPr>
        <w:t>διδασκαλία</w:t>
      </w:r>
      <w:r w:rsidRPr="007D4416">
        <w:t xml:space="preserve"> </w:t>
      </w:r>
      <w:r w:rsidRPr="00B64482">
        <w:rPr>
          <w:lang w:val="el-GR"/>
        </w:rPr>
        <w:t>του</w:t>
      </w:r>
      <w:r w:rsidRPr="007D4416">
        <w:t xml:space="preserve"> </w:t>
      </w:r>
      <w:r w:rsidRPr="00B64482">
        <w:rPr>
          <w:lang w:val="el-GR"/>
        </w:rPr>
        <w:t>Πυθαγορείου</w:t>
      </w:r>
      <w:r w:rsidRPr="007D4416">
        <w:t xml:space="preserve"> </w:t>
      </w:r>
      <w:r w:rsidRPr="00B64482">
        <w:rPr>
          <w:lang w:val="el-GR"/>
        </w:rPr>
        <w:t>Θεωρήματος</w:t>
      </w:r>
      <w:r w:rsidRPr="00412330">
        <w:t xml:space="preserve"> </w:t>
      </w:r>
      <w:r>
        <w:t>[The relationship between theory and material in the design of a teaching of the Pythagorean Theorem]</w:t>
      </w:r>
      <w:r w:rsidRPr="00EE770D">
        <w:t xml:space="preserve">. </w:t>
      </w:r>
      <w:proofErr w:type="gramStart"/>
      <w:r w:rsidRPr="00EE770D">
        <w:t xml:space="preserve">Proceedings of the </w:t>
      </w:r>
      <w:r>
        <w:rPr>
          <w:i/>
        </w:rPr>
        <w:t>1</w:t>
      </w:r>
      <w:r w:rsidRPr="00412330">
        <w:rPr>
          <w:i/>
          <w:vertAlign w:val="superscript"/>
        </w:rPr>
        <w:t>st</w:t>
      </w:r>
      <w:r>
        <w:rPr>
          <w:i/>
        </w:rPr>
        <w:t xml:space="preserve"> </w:t>
      </w:r>
      <w:proofErr w:type="spellStart"/>
      <w:r>
        <w:rPr>
          <w:i/>
        </w:rPr>
        <w:t>Panhellenic</w:t>
      </w:r>
      <w:proofErr w:type="spellEnd"/>
      <w:r>
        <w:rPr>
          <w:i/>
        </w:rPr>
        <w:t xml:space="preserve"> </w:t>
      </w:r>
      <w:r w:rsidRPr="00ED4D1B">
        <w:rPr>
          <w:i/>
        </w:rPr>
        <w:t xml:space="preserve">Conference </w:t>
      </w:r>
      <w:r>
        <w:rPr>
          <w:i/>
        </w:rPr>
        <w:t>with International Participation about Educational Material in Mathematics and Exact Sciences</w:t>
      </w:r>
      <w:r w:rsidRPr="00EE770D">
        <w:t xml:space="preserve">, </w:t>
      </w:r>
      <w:r>
        <w:t>17</w:t>
      </w:r>
      <w:r w:rsidRPr="00EE770D">
        <w:t>-</w:t>
      </w:r>
      <w:r>
        <w:t>18</w:t>
      </w:r>
      <w:r w:rsidRPr="00EE770D">
        <w:t xml:space="preserve"> </w:t>
      </w:r>
      <w:r>
        <w:t>October</w:t>
      </w:r>
      <w:r w:rsidRPr="00EE770D">
        <w:t xml:space="preserve"> 2014, </w:t>
      </w:r>
      <w:r>
        <w:t>Rhodes</w:t>
      </w:r>
      <w:r w:rsidRPr="00EE770D">
        <w:t xml:space="preserve">, </w:t>
      </w:r>
      <w:r>
        <w:t>Greece</w:t>
      </w:r>
      <w:r w:rsidRPr="00EE770D">
        <w:t>.</w:t>
      </w:r>
      <w:proofErr w:type="gramEnd"/>
    </w:p>
    <w:p w:rsidR="003C7AC1" w:rsidRPr="003C7AC1" w:rsidRDefault="00D032B7" w:rsidP="00A43431">
      <w:pPr>
        <w:pStyle w:val="References"/>
      </w:pPr>
      <w:proofErr w:type="spellStart"/>
      <w:proofErr w:type="gramStart"/>
      <w:r w:rsidRPr="003C7AC1">
        <w:t>Moutsi</w:t>
      </w:r>
      <w:r w:rsidR="003C7AC1" w:rsidRPr="003C7AC1">
        <w:t>os-Rentzos</w:t>
      </w:r>
      <w:proofErr w:type="spellEnd"/>
      <w:r w:rsidR="003C7AC1" w:rsidRPr="003C7AC1">
        <w:t xml:space="preserve">, A. </w:t>
      </w:r>
      <w:r w:rsidR="003C7AC1">
        <w:t>(in press-b</w:t>
      </w:r>
      <w:r w:rsidR="003C7AC1" w:rsidRPr="003C7AC1">
        <w:t>).</w:t>
      </w:r>
      <w:proofErr w:type="gramEnd"/>
      <w:r w:rsidR="003C7AC1" w:rsidRPr="003C7AC1">
        <w:t xml:space="preserve"> </w:t>
      </w:r>
      <w:proofErr w:type="gramStart"/>
      <w:r w:rsidR="003C7AC1" w:rsidRPr="003C7AC1">
        <w:t>Re-approaching the perceived proximities amongst mathematics education theories and methods</w:t>
      </w:r>
      <w:r w:rsidR="003C7AC1">
        <w:t>.</w:t>
      </w:r>
      <w:proofErr w:type="gramEnd"/>
      <w:r w:rsidR="003C7AC1">
        <w:t xml:space="preserve"> </w:t>
      </w:r>
      <w:proofErr w:type="gramStart"/>
      <w:r w:rsidR="003C7AC1" w:rsidRPr="003C7AC1">
        <w:rPr>
          <w:i/>
        </w:rPr>
        <w:t>Proceedings of CIEAEM 67</w:t>
      </w:r>
      <w:r w:rsidR="003C7AC1">
        <w:t xml:space="preserve">, 20-24 July, </w:t>
      </w:r>
      <w:proofErr w:type="spellStart"/>
      <w:r w:rsidR="003C7AC1">
        <w:t>Aosta</w:t>
      </w:r>
      <w:proofErr w:type="spellEnd"/>
      <w:r w:rsidR="003C7AC1">
        <w:t>, Italy.</w:t>
      </w:r>
      <w:proofErr w:type="gramEnd"/>
    </w:p>
    <w:p w:rsidR="003445C3" w:rsidRDefault="003445C3" w:rsidP="00A43431">
      <w:pPr>
        <w:pStyle w:val="References"/>
      </w:pPr>
      <w:proofErr w:type="spellStart"/>
      <w:proofErr w:type="gramStart"/>
      <w:r w:rsidRPr="006246C6">
        <w:t>Moutsios-Rentzos</w:t>
      </w:r>
      <w:proofErr w:type="spellEnd"/>
      <w:r w:rsidRPr="006246C6">
        <w:t xml:space="preserve">, A., </w:t>
      </w:r>
      <w:proofErr w:type="spellStart"/>
      <w:r w:rsidRPr="006246C6">
        <w:t>Kalavasis</w:t>
      </w:r>
      <w:proofErr w:type="spellEnd"/>
      <w:r w:rsidRPr="006246C6">
        <w:t xml:space="preserve">, F., &amp; </w:t>
      </w:r>
      <w:proofErr w:type="spellStart"/>
      <w:r w:rsidRPr="006246C6">
        <w:t>Sofos</w:t>
      </w:r>
      <w:proofErr w:type="spellEnd"/>
      <w:r w:rsidRPr="006246C6">
        <w:t>, A. (2013).</w:t>
      </w:r>
      <w:proofErr w:type="gramEnd"/>
      <w:r w:rsidRPr="006246C6">
        <w:t xml:space="preserve"> </w:t>
      </w:r>
      <w:proofErr w:type="gramStart"/>
      <w:r w:rsidRPr="003445C3">
        <w:t>The mathematics classroom in the expanded open system of a globalised virtual social network.</w:t>
      </w:r>
      <w:proofErr w:type="gramEnd"/>
      <w:r w:rsidRPr="003445C3">
        <w:t xml:space="preserve"> </w:t>
      </w:r>
      <w:proofErr w:type="spellStart"/>
      <w:proofErr w:type="gramStart"/>
      <w:r>
        <w:rPr>
          <w:i/>
        </w:rPr>
        <w:t>Quaderni</w:t>
      </w:r>
      <w:proofErr w:type="spellEnd"/>
      <w:r>
        <w:rPr>
          <w:i/>
        </w:rPr>
        <w:t xml:space="preserve"> </w:t>
      </w:r>
      <w:proofErr w:type="spellStart"/>
      <w:r>
        <w:rPr>
          <w:i/>
        </w:rPr>
        <w:t>di</w:t>
      </w:r>
      <w:proofErr w:type="spellEnd"/>
      <w:r>
        <w:rPr>
          <w:i/>
        </w:rPr>
        <w:t xml:space="preserve"> </w:t>
      </w:r>
      <w:proofErr w:type="spellStart"/>
      <w:r>
        <w:rPr>
          <w:i/>
        </w:rPr>
        <w:t>Ricerca</w:t>
      </w:r>
      <w:proofErr w:type="spellEnd"/>
      <w:r>
        <w:rPr>
          <w:i/>
        </w:rPr>
        <w:t xml:space="preserve"> in </w:t>
      </w:r>
      <w:proofErr w:type="spellStart"/>
      <w:r>
        <w:rPr>
          <w:i/>
        </w:rPr>
        <w:t>Didattica</w:t>
      </w:r>
      <w:proofErr w:type="spellEnd"/>
      <w:r>
        <w:rPr>
          <w:i/>
        </w:rPr>
        <w:t xml:space="preserve"> (M</w:t>
      </w:r>
      <w:r w:rsidRPr="003445C3">
        <w:rPr>
          <w:i/>
        </w:rPr>
        <w:t>athematics), 23</w:t>
      </w:r>
      <w:r w:rsidRPr="003445C3">
        <w:t>(1), 492-496.</w:t>
      </w:r>
      <w:proofErr w:type="gramEnd"/>
    </w:p>
    <w:p w:rsidR="00EE770D" w:rsidRDefault="00EE770D" w:rsidP="00A43431">
      <w:pPr>
        <w:pStyle w:val="References"/>
      </w:pPr>
      <w:proofErr w:type="spellStart"/>
      <w:proofErr w:type="gramStart"/>
      <w:r w:rsidRPr="00EE770D">
        <w:t>Moutsios-Rentzos</w:t>
      </w:r>
      <w:proofErr w:type="spellEnd"/>
      <w:r w:rsidRPr="00EE770D">
        <w:t xml:space="preserve">, A., &amp; </w:t>
      </w:r>
      <w:proofErr w:type="spellStart"/>
      <w:r w:rsidRPr="00EE770D">
        <w:t>Kalozoumi-Paizi</w:t>
      </w:r>
      <w:proofErr w:type="spellEnd"/>
      <w:r w:rsidRPr="00EE770D">
        <w:t>, F. (</w:t>
      </w:r>
      <w:r w:rsidR="007D4416">
        <w:t>2014</w:t>
      </w:r>
      <w:r w:rsidRPr="00EE770D">
        <w:t>).</w:t>
      </w:r>
      <w:proofErr w:type="gramEnd"/>
      <w:r w:rsidRPr="00EE770D">
        <w:t xml:space="preserve"> </w:t>
      </w:r>
      <w:r w:rsidRPr="00ED4D1B">
        <w:t>Odysseus’ proving journeys to proof: an investigation on cognitive and affective realities</w:t>
      </w:r>
      <w:r w:rsidRPr="00EE770D">
        <w:t xml:space="preserve">. </w:t>
      </w:r>
      <w:proofErr w:type="gramStart"/>
      <w:r w:rsidR="007D4416" w:rsidRPr="007D4416">
        <w:t>Proceedings</w:t>
      </w:r>
      <w:r w:rsidR="007D4416" w:rsidRPr="006246C6">
        <w:t xml:space="preserve"> </w:t>
      </w:r>
      <w:r w:rsidR="007D4416" w:rsidRPr="007D4416">
        <w:t>of</w:t>
      </w:r>
      <w:r w:rsidR="007D4416" w:rsidRPr="006246C6">
        <w:t xml:space="preserve"> </w:t>
      </w:r>
      <w:r w:rsidR="007D4416" w:rsidRPr="007D4416">
        <w:t>CIEAEM</w:t>
      </w:r>
      <w:r w:rsidR="007D4416" w:rsidRPr="006246C6">
        <w:t xml:space="preserve"> 66.</w:t>
      </w:r>
      <w:proofErr w:type="gramEnd"/>
      <w:r w:rsidR="007D4416" w:rsidRPr="006246C6">
        <w:t xml:space="preserve"> </w:t>
      </w:r>
      <w:proofErr w:type="spellStart"/>
      <w:proofErr w:type="gramStart"/>
      <w:r w:rsidR="007D4416" w:rsidRPr="007D4416">
        <w:rPr>
          <w:i/>
        </w:rPr>
        <w:t>Quaderni</w:t>
      </w:r>
      <w:proofErr w:type="spellEnd"/>
      <w:r w:rsidR="007D4416" w:rsidRPr="006246C6">
        <w:rPr>
          <w:i/>
        </w:rPr>
        <w:t xml:space="preserve"> </w:t>
      </w:r>
      <w:proofErr w:type="spellStart"/>
      <w:r w:rsidR="007D4416" w:rsidRPr="007D4416">
        <w:rPr>
          <w:i/>
        </w:rPr>
        <w:t>di</w:t>
      </w:r>
      <w:proofErr w:type="spellEnd"/>
      <w:r w:rsidR="007D4416" w:rsidRPr="006246C6">
        <w:rPr>
          <w:i/>
        </w:rPr>
        <w:t xml:space="preserve"> </w:t>
      </w:r>
      <w:proofErr w:type="spellStart"/>
      <w:r w:rsidR="007D4416" w:rsidRPr="007D4416">
        <w:rPr>
          <w:i/>
        </w:rPr>
        <w:t>Ricerca</w:t>
      </w:r>
      <w:proofErr w:type="spellEnd"/>
      <w:r w:rsidR="007D4416" w:rsidRPr="006246C6">
        <w:rPr>
          <w:i/>
        </w:rPr>
        <w:t xml:space="preserve"> </w:t>
      </w:r>
      <w:r w:rsidR="007D4416" w:rsidRPr="007D4416">
        <w:rPr>
          <w:i/>
        </w:rPr>
        <w:t>in</w:t>
      </w:r>
      <w:r w:rsidR="007D4416" w:rsidRPr="006246C6">
        <w:rPr>
          <w:i/>
        </w:rPr>
        <w:t xml:space="preserve"> </w:t>
      </w:r>
      <w:proofErr w:type="spellStart"/>
      <w:r w:rsidR="007D4416" w:rsidRPr="007D4416">
        <w:rPr>
          <w:i/>
        </w:rPr>
        <w:t>Didattica</w:t>
      </w:r>
      <w:proofErr w:type="spellEnd"/>
      <w:r w:rsidR="007D4416" w:rsidRPr="006246C6">
        <w:rPr>
          <w:i/>
        </w:rPr>
        <w:t xml:space="preserve"> (</w:t>
      </w:r>
      <w:r w:rsidR="007D4416" w:rsidRPr="007D4416">
        <w:rPr>
          <w:i/>
        </w:rPr>
        <w:t>Mathematics</w:t>
      </w:r>
      <w:r w:rsidR="007D4416" w:rsidRPr="006246C6">
        <w:rPr>
          <w:i/>
        </w:rPr>
        <w:t>), 24</w:t>
      </w:r>
      <w:r w:rsidR="007D4416" w:rsidRPr="006246C6">
        <w:t>(1), 290-296</w:t>
      </w:r>
      <w:r w:rsidRPr="00EE770D">
        <w:t>.</w:t>
      </w:r>
      <w:proofErr w:type="gramEnd"/>
    </w:p>
    <w:p w:rsidR="00A43431" w:rsidRPr="00A43431" w:rsidRDefault="00A43431" w:rsidP="00A43431">
      <w:pPr>
        <w:pStyle w:val="References"/>
      </w:pPr>
      <w:proofErr w:type="spellStart"/>
      <w:proofErr w:type="gramStart"/>
      <w:r w:rsidRPr="006246C6">
        <w:t>Moutsios-Rentzos</w:t>
      </w:r>
      <w:proofErr w:type="spellEnd"/>
      <w:r w:rsidRPr="006246C6">
        <w:t>, A., &amp; Simpson, A. (2011).</w:t>
      </w:r>
      <w:proofErr w:type="gramEnd"/>
      <w:r w:rsidRPr="006246C6">
        <w:t xml:space="preserve"> </w:t>
      </w:r>
      <w:r w:rsidRPr="00A43431">
        <w:rPr>
          <w:lang w:val="en-US"/>
        </w:rPr>
        <w:t>University mathematics students and exam-style proving questions: The A-B-Δ strategy classification scheme</w:t>
      </w:r>
      <w:r w:rsidRPr="00A43431">
        <w:t xml:space="preserve">. </w:t>
      </w:r>
      <w:r w:rsidRPr="00A43431">
        <w:rPr>
          <w:i/>
        </w:rPr>
        <w:t xml:space="preserve">International </w:t>
      </w:r>
      <w:r w:rsidR="00ED4D1B">
        <w:rPr>
          <w:i/>
        </w:rPr>
        <w:t>J</w:t>
      </w:r>
      <w:r w:rsidR="0092161C" w:rsidRPr="00A43431">
        <w:rPr>
          <w:i/>
        </w:rPr>
        <w:t xml:space="preserve">ournal for </w:t>
      </w:r>
      <w:r w:rsidR="00ED4D1B">
        <w:rPr>
          <w:i/>
        </w:rPr>
        <w:t>M</w:t>
      </w:r>
      <w:r w:rsidR="0092161C" w:rsidRPr="00A43431">
        <w:rPr>
          <w:i/>
        </w:rPr>
        <w:t xml:space="preserve">athematics in </w:t>
      </w:r>
      <w:r w:rsidR="00ED4D1B">
        <w:rPr>
          <w:i/>
        </w:rPr>
        <w:t>E</w:t>
      </w:r>
      <w:r w:rsidR="0092161C" w:rsidRPr="00A43431">
        <w:rPr>
          <w:i/>
        </w:rPr>
        <w:t>ducation</w:t>
      </w:r>
      <w:r w:rsidRPr="00A43431">
        <w:rPr>
          <w:i/>
        </w:rPr>
        <w:t xml:space="preserve">, 3, </w:t>
      </w:r>
      <w:r w:rsidRPr="00A43431">
        <w:t>45-64.</w:t>
      </w:r>
    </w:p>
    <w:p w:rsidR="003571B0" w:rsidRPr="007D4416" w:rsidRDefault="003571B0" w:rsidP="003571B0">
      <w:pPr>
        <w:pStyle w:val="References"/>
      </w:pPr>
      <w:r w:rsidRPr="003571B0">
        <w:rPr>
          <w:lang w:val="fi-FI"/>
        </w:rPr>
        <w:t>Moutsios-Rentzos, A., Spyrou, P., &amp; Peteinara, A. (</w:t>
      </w:r>
      <w:r w:rsidRPr="00232004">
        <w:t>2014</w:t>
      </w:r>
      <w:r w:rsidRPr="003571B0">
        <w:rPr>
          <w:lang w:val="fi-FI"/>
        </w:rPr>
        <w:t xml:space="preserve">). </w:t>
      </w:r>
      <w:r w:rsidRPr="003571B0">
        <w:t xml:space="preserve">The objectification of the right-angled triangle in the teaching of the Pythagorean Theorem: an empirical investigation. </w:t>
      </w:r>
      <w:r w:rsidRPr="003571B0">
        <w:rPr>
          <w:i/>
        </w:rPr>
        <w:t>Educational</w:t>
      </w:r>
      <w:r w:rsidRPr="007D4416">
        <w:rPr>
          <w:i/>
        </w:rPr>
        <w:t xml:space="preserve"> </w:t>
      </w:r>
      <w:r w:rsidR="00ED4D1B">
        <w:rPr>
          <w:i/>
        </w:rPr>
        <w:t>S</w:t>
      </w:r>
      <w:r w:rsidRPr="003571B0">
        <w:rPr>
          <w:i/>
        </w:rPr>
        <w:t>tudies</w:t>
      </w:r>
      <w:r w:rsidRPr="007D4416">
        <w:rPr>
          <w:i/>
        </w:rPr>
        <w:t xml:space="preserve"> </w:t>
      </w:r>
      <w:r w:rsidRPr="003571B0">
        <w:rPr>
          <w:i/>
        </w:rPr>
        <w:t>in</w:t>
      </w:r>
      <w:r w:rsidRPr="007D4416">
        <w:rPr>
          <w:i/>
        </w:rPr>
        <w:t xml:space="preserve"> </w:t>
      </w:r>
      <w:r w:rsidR="00ED4D1B">
        <w:rPr>
          <w:i/>
        </w:rPr>
        <w:t>M</w:t>
      </w:r>
      <w:r w:rsidRPr="003571B0">
        <w:rPr>
          <w:i/>
        </w:rPr>
        <w:t>athematics</w:t>
      </w:r>
      <w:r w:rsidRPr="007D4416">
        <w:rPr>
          <w:i/>
        </w:rPr>
        <w:t>, 85</w:t>
      </w:r>
      <w:r w:rsidRPr="007D4416">
        <w:t>(1), 29-51.</w:t>
      </w:r>
    </w:p>
    <w:p w:rsidR="00D801BD" w:rsidRDefault="00D801BD" w:rsidP="003571B0">
      <w:pPr>
        <w:pStyle w:val="References"/>
      </w:pPr>
      <w:proofErr w:type="spellStart"/>
      <w:proofErr w:type="gramStart"/>
      <w:r w:rsidRPr="00D801BD">
        <w:t>Noback</w:t>
      </w:r>
      <w:proofErr w:type="spellEnd"/>
      <w:r w:rsidRPr="00D801BD">
        <w:t xml:space="preserve">, C. R., </w:t>
      </w:r>
      <w:proofErr w:type="spellStart"/>
      <w:r w:rsidRPr="00D801BD">
        <w:t>Strominger</w:t>
      </w:r>
      <w:proofErr w:type="spellEnd"/>
      <w:r w:rsidRPr="00D801BD">
        <w:t>, N. L., Demarest, R. J., &amp; Ruggiero, D. A. (2005).</w:t>
      </w:r>
      <w:proofErr w:type="gramEnd"/>
      <w:r w:rsidRPr="00D801BD">
        <w:t xml:space="preserve"> </w:t>
      </w:r>
      <w:proofErr w:type="gramStart"/>
      <w:r w:rsidRPr="00D801BD">
        <w:rPr>
          <w:i/>
        </w:rPr>
        <w:t>The Human Nervous System.</w:t>
      </w:r>
      <w:proofErr w:type="gramEnd"/>
      <w:r w:rsidRPr="00D801BD">
        <w:t xml:space="preserve"> Totowa, NJ: Humana Press</w:t>
      </w:r>
      <w:r>
        <w:t>.</w:t>
      </w:r>
    </w:p>
    <w:p w:rsidR="003571B0" w:rsidRPr="003571B0" w:rsidRDefault="003571B0" w:rsidP="003571B0">
      <w:pPr>
        <w:pStyle w:val="References"/>
      </w:pPr>
      <w:r w:rsidRPr="003571B0">
        <w:t xml:space="preserve">Radford, L. (1997). On psychology, historical epistemology, and the teaching of mathematics: towards a socio-cultural history of mathematics. </w:t>
      </w:r>
      <w:proofErr w:type="gramStart"/>
      <w:r w:rsidRPr="003571B0">
        <w:rPr>
          <w:i/>
          <w:iCs/>
        </w:rPr>
        <w:t xml:space="preserve">For the </w:t>
      </w:r>
      <w:r w:rsidR="00ED4D1B">
        <w:rPr>
          <w:i/>
          <w:iCs/>
        </w:rPr>
        <w:t>L</w:t>
      </w:r>
      <w:r w:rsidRPr="003571B0">
        <w:rPr>
          <w:i/>
          <w:iCs/>
        </w:rPr>
        <w:t xml:space="preserve">earning of </w:t>
      </w:r>
      <w:r w:rsidR="00ED4D1B">
        <w:rPr>
          <w:i/>
          <w:iCs/>
        </w:rPr>
        <w:t>M</w:t>
      </w:r>
      <w:r w:rsidRPr="003571B0">
        <w:rPr>
          <w:i/>
          <w:iCs/>
        </w:rPr>
        <w:t>athematics</w:t>
      </w:r>
      <w:r w:rsidRPr="003571B0">
        <w:t xml:space="preserve">, </w:t>
      </w:r>
      <w:r w:rsidRPr="003571B0">
        <w:rPr>
          <w:i/>
          <w:iCs/>
        </w:rPr>
        <w:t>17</w:t>
      </w:r>
      <w:r w:rsidRPr="003571B0">
        <w:t>(1), 26-33.</w:t>
      </w:r>
      <w:proofErr w:type="gramEnd"/>
    </w:p>
    <w:p w:rsidR="00A43431" w:rsidRPr="00A43431" w:rsidRDefault="00A43431" w:rsidP="00A43431">
      <w:pPr>
        <w:pStyle w:val="References"/>
      </w:pPr>
      <w:r w:rsidRPr="00A43431">
        <w:lastRenderedPageBreak/>
        <w:t xml:space="preserve">Radford, L. (2003). Gestures, </w:t>
      </w:r>
      <w:r w:rsidR="0092161C" w:rsidRPr="00A43431">
        <w:t>speech and the sprouting of signs: a semiotic-cultural approach to students’ types of generalization</w:t>
      </w:r>
      <w:r w:rsidRPr="00A43431">
        <w:t xml:space="preserve">. </w:t>
      </w:r>
      <w:r w:rsidRPr="00A43431">
        <w:rPr>
          <w:i/>
          <w:iCs/>
        </w:rPr>
        <w:t xml:space="preserve">Mathematical </w:t>
      </w:r>
      <w:r w:rsidR="00ED4D1B">
        <w:rPr>
          <w:i/>
          <w:iCs/>
        </w:rPr>
        <w:t>T</w:t>
      </w:r>
      <w:r w:rsidR="0092161C" w:rsidRPr="00A43431">
        <w:rPr>
          <w:i/>
          <w:iCs/>
        </w:rPr>
        <w:t xml:space="preserve">hinking and </w:t>
      </w:r>
      <w:r w:rsidR="00ED4D1B">
        <w:rPr>
          <w:i/>
          <w:iCs/>
        </w:rPr>
        <w:t>L</w:t>
      </w:r>
      <w:r w:rsidR="0092161C" w:rsidRPr="00A43431">
        <w:rPr>
          <w:i/>
          <w:iCs/>
        </w:rPr>
        <w:t>earning, 5</w:t>
      </w:r>
      <w:r w:rsidR="0092161C" w:rsidRPr="00A43431">
        <w:t>(1)</w:t>
      </w:r>
      <w:r w:rsidRPr="00A43431">
        <w:t>, 37-70.</w:t>
      </w:r>
    </w:p>
    <w:p w:rsidR="00EE770D" w:rsidRPr="00EE770D" w:rsidRDefault="00EE770D" w:rsidP="00EE770D">
      <w:pPr>
        <w:pStyle w:val="References"/>
        <w:rPr>
          <w:bCs/>
        </w:rPr>
      </w:pPr>
      <w:proofErr w:type="gramStart"/>
      <w:r w:rsidRPr="00EE770D">
        <w:rPr>
          <w:bCs/>
        </w:rPr>
        <w:t>Reid, D.</w:t>
      </w:r>
      <w:r w:rsidR="00AD729D">
        <w:rPr>
          <w:bCs/>
        </w:rPr>
        <w:t>,</w:t>
      </w:r>
      <w:r w:rsidRPr="00EE770D">
        <w:rPr>
          <w:bCs/>
        </w:rPr>
        <w:t xml:space="preserve"> &amp; </w:t>
      </w:r>
      <w:proofErr w:type="spellStart"/>
      <w:r w:rsidRPr="00EE770D">
        <w:rPr>
          <w:bCs/>
        </w:rPr>
        <w:t>Knipping</w:t>
      </w:r>
      <w:proofErr w:type="spellEnd"/>
      <w:r w:rsidRPr="00EE770D">
        <w:rPr>
          <w:bCs/>
        </w:rPr>
        <w:t>, C. (2010).</w:t>
      </w:r>
      <w:proofErr w:type="gramEnd"/>
      <w:r w:rsidRPr="00EE770D">
        <w:rPr>
          <w:bCs/>
        </w:rPr>
        <w:t xml:space="preserve"> </w:t>
      </w:r>
      <w:proofErr w:type="gramStart"/>
      <w:r w:rsidRPr="00EE770D">
        <w:rPr>
          <w:bCs/>
          <w:i/>
          <w:iCs/>
        </w:rPr>
        <w:t xml:space="preserve">Proof in </w:t>
      </w:r>
      <w:r w:rsidR="0092161C" w:rsidRPr="00EE770D">
        <w:rPr>
          <w:bCs/>
          <w:i/>
          <w:iCs/>
        </w:rPr>
        <w:t>mathematics education.</w:t>
      </w:r>
      <w:proofErr w:type="gramEnd"/>
      <w:r w:rsidR="0092161C" w:rsidRPr="00EE770D">
        <w:rPr>
          <w:bCs/>
          <w:i/>
          <w:iCs/>
        </w:rPr>
        <w:t xml:space="preserve"> Research, learning and teaching</w:t>
      </w:r>
      <w:r w:rsidRPr="00EE770D">
        <w:rPr>
          <w:bCs/>
          <w:i/>
          <w:iCs/>
        </w:rPr>
        <w:t>.</w:t>
      </w:r>
      <w:r w:rsidRPr="00EE770D">
        <w:rPr>
          <w:bCs/>
        </w:rPr>
        <w:t xml:space="preserve"> Rotterdam: Sense Publishers.</w:t>
      </w:r>
    </w:p>
    <w:p w:rsidR="00475679" w:rsidRPr="00475679" w:rsidRDefault="00475679" w:rsidP="00A43431">
      <w:pPr>
        <w:pStyle w:val="References"/>
      </w:pPr>
      <w:proofErr w:type="spellStart"/>
      <w:r>
        <w:t>S</w:t>
      </w:r>
      <w:r w:rsidR="00F70994">
        <w:t>arka</w:t>
      </w:r>
      <w:r>
        <w:t>dy</w:t>
      </w:r>
      <w:proofErr w:type="spellEnd"/>
      <w:r>
        <w:t>, J. (1975). Outlines of the development of the Greek society in the period between the 12</w:t>
      </w:r>
      <w:r w:rsidRPr="00F70994">
        <w:t>th</w:t>
      </w:r>
      <w:r>
        <w:t xml:space="preserve"> and the 8</w:t>
      </w:r>
      <w:r w:rsidRPr="00F70994">
        <w:t>th</w:t>
      </w:r>
      <w:r w:rsidR="00F70994">
        <w:t xml:space="preserve"> centuries B.C. </w:t>
      </w:r>
      <w:r w:rsidR="00F70994">
        <w:rPr>
          <w:i/>
        </w:rPr>
        <w:t xml:space="preserve">Acta </w:t>
      </w:r>
      <w:proofErr w:type="spellStart"/>
      <w:r w:rsidR="00F70994">
        <w:rPr>
          <w:i/>
        </w:rPr>
        <w:t>Antiqua</w:t>
      </w:r>
      <w:proofErr w:type="spellEnd"/>
      <w:r w:rsidR="00F70994">
        <w:rPr>
          <w:i/>
        </w:rPr>
        <w:t xml:space="preserve"> </w:t>
      </w:r>
      <w:proofErr w:type="spellStart"/>
      <w:r w:rsidR="00F70994">
        <w:rPr>
          <w:i/>
        </w:rPr>
        <w:t>Academiae</w:t>
      </w:r>
      <w:proofErr w:type="spellEnd"/>
      <w:r w:rsidR="00F70994">
        <w:rPr>
          <w:i/>
        </w:rPr>
        <w:t xml:space="preserve"> </w:t>
      </w:r>
      <w:proofErr w:type="spellStart"/>
      <w:r w:rsidR="00F70994">
        <w:rPr>
          <w:i/>
        </w:rPr>
        <w:t>Scientiarium</w:t>
      </w:r>
      <w:proofErr w:type="spellEnd"/>
      <w:r w:rsidR="00F70994">
        <w:rPr>
          <w:i/>
        </w:rPr>
        <w:t xml:space="preserve"> </w:t>
      </w:r>
      <w:proofErr w:type="spellStart"/>
      <w:r w:rsidR="00F70994">
        <w:rPr>
          <w:i/>
        </w:rPr>
        <w:t>Hungaricae</w:t>
      </w:r>
      <w:proofErr w:type="spellEnd"/>
      <w:r w:rsidR="00F70994">
        <w:rPr>
          <w:i/>
        </w:rPr>
        <w:t>, 23 (1-2)</w:t>
      </w:r>
      <w:r w:rsidR="00F70994">
        <w:t>, 107-125.</w:t>
      </w:r>
    </w:p>
    <w:p w:rsidR="00A47B07" w:rsidRDefault="00A47B07" w:rsidP="00A47B07">
      <w:pPr>
        <w:pStyle w:val="References"/>
      </w:pPr>
      <w:proofErr w:type="spellStart"/>
      <w:r w:rsidRPr="00280674">
        <w:t>Siu</w:t>
      </w:r>
      <w:proofErr w:type="spellEnd"/>
      <w:r w:rsidRPr="00280674">
        <w:t>, M</w:t>
      </w:r>
      <w:r w:rsidR="00447D50" w:rsidRPr="00280674">
        <w:t>. K.</w:t>
      </w:r>
      <w:r w:rsidRPr="00280674">
        <w:t xml:space="preserve"> (2008). </w:t>
      </w:r>
      <w:proofErr w:type="gramStart"/>
      <w:r w:rsidRPr="00280674">
        <w:t>Proof as a practice of mathematical pursuit in a cultural, socio-political</w:t>
      </w:r>
      <w:r>
        <w:t xml:space="preserve"> and intellectual context.</w:t>
      </w:r>
      <w:proofErr w:type="gramEnd"/>
      <w:r>
        <w:t xml:space="preserve"> </w:t>
      </w:r>
      <w:r w:rsidRPr="00A47B07">
        <w:rPr>
          <w:i/>
        </w:rPr>
        <w:t>ZDM Mathematics education</w:t>
      </w:r>
      <w:r>
        <w:rPr>
          <w:i/>
        </w:rPr>
        <w:t>,</w:t>
      </w:r>
      <w:r w:rsidRPr="00A47B07">
        <w:rPr>
          <w:i/>
        </w:rPr>
        <w:t xml:space="preserve"> 40</w:t>
      </w:r>
      <w:r>
        <w:t xml:space="preserve">, 355-361. </w:t>
      </w:r>
    </w:p>
    <w:p w:rsidR="00A43431" w:rsidRPr="00A43431" w:rsidRDefault="00A43431" w:rsidP="00A47B07">
      <w:pPr>
        <w:pStyle w:val="References"/>
      </w:pPr>
      <w:proofErr w:type="spellStart"/>
      <w:r w:rsidRPr="00A47B07">
        <w:t>Sokolowski</w:t>
      </w:r>
      <w:proofErr w:type="spellEnd"/>
      <w:r w:rsidRPr="00A43431">
        <w:t xml:space="preserve">, R. (2000). </w:t>
      </w:r>
      <w:proofErr w:type="gramStart"/>
      <w:r w:rsidRPr="00A43431">
        <w:rPr>
          <w:i/>
        </w:rPr>
        <w:t>Introduction to phenomenology</w:t>
      </w:r>
      <w:r w:rsidRPr="00A43431">
        <w:t>.</w:t>
      </w:r>
      <w:proofErr w:type="gramEnd"/>
      <w:r w:rsidRPr="00A43431">
        <w:t xml:space="preserve"> </w:t>
      </w:r>
      <w:r w:rsidRPr="00A43431">
        <w:rPr>
          <w:lang w:val="en-US"/>
        </w:rPr>
        <w:t>New York: Cambridge University Press.</w:t>
      </w:r>
    </w:p>
    <w:p w:rsidR="00292DFF" w:rsidRPr="007D4416" w:rsidRDefault="00292DFF" w:rsidP="00A43431">
      <w:pPr>
        <w:pStyle w:val="References"/>
        <w:rPr>
          <w:bCs/>
        </w:rPr>
      </w:pPr>
      <w:proofErr w:type="spellStart"/>
      <w:r w:rsidRPr="00292DFF">
        <w:rPr>
          <w:bCs/>
        </w:rPr>
        <w:t>Streefland</w:t>
      </w:r>
      <w:proofErr w:type="spellEnd"/>
      <w:r w:rsidRPr="00292DFF">
        <w:rPr>
          <w:bCs/>
        </w:rPr>
        <w:t xml:space="preserve">, L. (Ed.). (1991). </w:t>
      </w:r>
      <w:r w:rsidRPr="00292DFF">
        <w:rPr>
          <w:bCs/>
          <w:i/>
          <w:iCs/>
        </w:rPr>
        <w:t>Fractions in realistic mathematics education: a paradigm of developmental research</w:t>
      </w:r>
      <w:r w:rsidRPr="00292DFF">
        <w:rPr>
          <w:bCs/>
        </w:rPr>
        <w:t>. Dordrecht</w:t>
      </w:r>
      <w:r w:rsidRPr="007D4416">
        <w:rPr>
          <w:bCs/>
        </w:rPr>
        <w:t xml:space="preserve">: </w:t>
      </w:r>
      <w:r w:rsidRPr="00292DFF">
        <w:rPr>
          <w:bCs/>
        </w:rPr>
        <w:t>Kluwer</w:t>
      </w:r>
      <w:r w:rsidRPr="007D4416">
        <w:rPr>
          <w:bCs/>
        </w:rPr>
        <w:t>.</w:t>
      </w:r>
    </w:p>
    <w:p w:rsidR="00A43431" w:rsidRPr="00A43431" w:rsidRDefault="00A43431" w:rsidP="00A43431">
      <w:pPr>
        <w:pStyle w:val="References"/>
      </w:pPr>
      <w:proofErr w:type="spellStart"/>
      <w:r w:rsidRPr="00A43431">
        <w:t>Szabó</w:t>
      </w:r>
      <w:proofErr w:type="spellEnd"/>
      <w:r w:rsidRPr="00A43431">
        <w:t xml:space="preserve">, Á. (1978). </w:t>
      </w:r>
      <w:proofErr w:type="gramStart"/>
      <w:r w:rsidRPr="00A43431">
        <w:rPr>
          <w:i/>
        </w:rPr>
        <w:t>The beginnings of Greek mathematics.</w:t>
      </w:r>
      <w:proofErr w:type="gramEnd"/>
      <w:r w:rsidRPr="00A43431">
        <w:rPr>
          <w:i/>
        </w:rPr>
        <w:t xml:space="preserve"> </w:t>
      </w:r>
      <w:r w:rsidRPr="00A43431">
        <w:t>Dordrecht: Reidel.</w:t>
      </w:r>
    </w:p>
    <w:p w:rsidR="00517EE7" w:rsidRPr="006246C6" w:rsidRDefault="00517EE7" w:rsidP="00A43431">
      <w:pPr>
        <w:pStyle w:val="References"/>
        <w:rPr>
          <w:lang w:val="fr-FR"/>
        </w:rPr>
      </w:pPr>
      <w:proofErr w:type="spellStart"/>
      <w:r w:rsidRPr="00517EE7">
        <w:t>Trân</w:t>
      </w:r>
      <w:proofErr w:type="spellEnd"/>
      <w:r w:rsidRPr="00517EE7">
        <w:t xml:space="preserve"> </w:t>
      </w:r>
      <w:proofErr w:type="spellStart"/>
      <w:r w:rsidRPr="00517EE7">
        <w:t>Duc</w:t>
      </w:r>
      <w:proofErr w:type="spellEnd"/>
      <w:r w:rsidRPr="00517EE7">
        <w:t xml:space="preserve"> </w:t>
      </w:r>
      <w:proofErr w:type="spellStart"/>
      <w:r w:rsidRPr="00517EE7">
        <w:t>Thao</w:t>
      </w:r>
      <w:proofErr w:type="spellEnd"/>
      <w:r w:rsidRPr="00517EE7">
        <w:t xml:space="preserve"> (1984). </w:t>
      </w:r>
      <w:proofErr w:type="gramStart"/>
      <w:r w:rsidRPr="00517EE7">
        <w:rPr>
          <w:i/>
        </w:rPr>
        <w:t>Investigations into the origin of language and consciousness</w:t>
      </w:r>
      <w:r w:rsidRPr="00517EE7">
        <w:t>.</w:t>
      </w:r>
      <w:proofErr w:type="gramEnd"/>
      <w:r w:rsidRPr="00517EE7">
        <w:t xml:space="preserve"> </w:t>
      </w:r>
      <w:r w:rsidRPr="006246C6">
        <w:rPr>
          <w:lang w:val="fr-FR"/>
        </w:rPr>
        <w:t xml:space="preserve">Dordrecht: Reidel. </w:t>
      </w:r>
    </w:p>
    <w:p w:rsidR="00A43431" w:rsidRPr="00A43431" w:rsidRDefault="00A43431" w:rsidP="00A43431">
      <w:pPr>
        <w:pStyle w:val="References"/>
        <w:rPr>
          <w:lang w:val="fr-FR"/>
        </w:rPr>
      </w:pPr>
      <w:r w:rsidRPr="007D4416">
        <w:rPr>
          <w:lang w:val="fr-FR"/>
        </w:rPr>
        <w:t xml:space="preserve">Vernant, J. P. (1975). </w:t>
      </w:r>
      <w:r w:rsidRPr="00A43431">
        <w:rPr>
          <w:i/>
          <w:lang w:val="fr-FR"/>
        </w:rPr>
        <w:t>Les origines de la pensée grecque</w:t>
      </w:r>
      <w:r w:rsidRPr="00A43431">
        <w:rPr>
          <w:lang w:val="fr-FR"/>
        </w:rPr>
        <w:t xml:space="preserve">. Vendôme: Presses Universitaires de France. </w:t>
      </w:r>
    </w:p>
    <w:p w:rsidR="00A43431" w:rsidRPr="00A43431" w:rsidRDefault="00A43431" w:rsidP="00A43431">
      <w:pPr>
        <w:pStyle w:val="References"/>
      </w:pPr>
      <w:proofErr w:type="spellStart"/>
      <w:r w:rsidRPr="00A43431">
        <w:t>Vernant</w:t>
      </w:r>
      <w:proofErr w:type="spellEnd"/>
      <w:r w:rsidRPr="00A43431">
        <w:t xml:space="preserve">, J. P. (1983). </w:t>
      </w:r>
      <w:r w:rsidRPr="00A43431">
        <w:rPr>
          <w:i/>
        </w:rPr>
        <w:t>Myth and thought among the Greeks</w:t>
      </w:r>
      <w:r w:rsidRPr="00A43431">
        <w:t xml:space="preserve">. Routledge &amp; Kegan Paul: London, Boston, Melbourne &amp; </w:t>
      </w:r>
      <w:proofErr w:type="spellStart"/>
      <w:r w:rsidRPr="00A43431">
        <w:t>Hendley</w:t>
      </w:r>
      <w:proofErr w:type="spellEnd"/>
      <w:r w:rsidRPr="00A43431">
        <w:t>.</w:t>
      </w:r>
    </w:p>
    <w:p w:rsidR="00A43431" w:rsidRPr="00A43431" w:rsidRDefault="00A43431" w:rsidP="00A43431">
      <w:pPr>
        <w:pStyle w:val="References"/>
      </w:pPr>
      <w:r w:rsidRPr="00A43431">
        <w:t xml:space="preserve">Vygotsky, L. (1978). </w:t>
      </w:r>
      <w:proofErr w:type="gramStart"/>
      <w:r w:rsidRPr="00A43431">
        <w:rPr>
          <w:i/>
          <w:iCs/>
        </w:rPr>
        <w:t>Mind in society: The development of higher psychological processes.</w:t>
      </w:r>
      <w:proofErr w:type="gramEnd"/>
      <w:r w:rsidRPr="00A43431">
        <w:rPr>
          <w:i/>
          <w:iCs/>
        </w:rPr>
        <w:t xml:space="preserve"> </w:t>
      </w:r>
      <w:r w:rsidRPr="00A43431">
        <w:t>Cambridge, MA: Harvard University Press.</w:t>
      </w:r>
    </w:p>
    <w:p w:rsidR="0022584B" w:rsidRPr="00C07BD4" w:rsidRDefault="0022584B" w:rsidP="00C07BD4">
      <w:pPr>
        <w:pStyle w:val="References"/>
      </w:pPr>
      <w:proofErr w:type="spellStart"/>
      <w:r w:rsidRPr="00C07BD4">
        <w:t>Zahavi</w:t>
      </w:r>
      <w:proofErr w:type="spellEnd"/>
      <w:r w:rsidRPr="00C07BD4">
        <w:t>, D. (</w:t>
      </w:r>
      <w:r w:rsidR="00C07BD4" w:rsidRPr="00C07BD4">
        <w:t>2003a</w:t>
      </w:r>
      <w:r w:rsidRPr="00C07BD4">
        <w:t xml:space="preserve">). </w:t>
      </w:r>
      <w:proofErr w:type="gramStart"/>
      <w:r w:rsidR="00C07BD4" w:rsidRPr="00C07BD4">
        <w:t>Husserl’s intersubjective transformation of transcendental philosophy.</w:t>
      </w:r>
      <w:proofErr w:type="gramEnd"/>
      <w:r w:rsidR="00C07BD4" w:rsidRPr="00C07BD4">
        <w:t xml:space="preserve"> In D. </w:t>
      </w:r>
      <w:proofErr w:type="spellStart"/>
      <w:r w:rsidR="00C07BD4" w:rsidRPr="00C07BD4">
        <w:t>Welton</w:t>
      </w:r>
      <w:proofErr w:type="spellEnd"/>
      <w:r w:rsidR="00C07BD4" w:rsidRPr="00C07BD4">
        <w:t xml:space="preserve"> (Ed.), </w:t>
      </w:r>
      <w:r w:rsidR="00C07BD4" w:rsidRPr="00C07BD4">
        <w:rPr>
          <w:i/>
        </w:rPr>
        <w:t xml:space="preserve">The new Husserl: A critical reader. </w:t>
      </w:r>
      <w:r w:rsidR="00C07BD4" w:rsidRPr="00C07BD4">
        <w:t>(pp. 233-251). Bloomington, IN: Indiana University Press</w:t>
      </w:r>
      <w:r w:rsidRPr="00C07BD4">
        <w:t>.</w:t>
      </w:r>
    </w:p>
    <w:p w:rsidR="0022584B" w:rsidRPr="00C07BD4" w:rsidRDefault="0022584B" w:rsidP="00A43431">
      <w:pPr>
        <w:pStyle w:val="References"/>
      </w:pPr>
      <w:proofErr w:type="spellStart"/>
      <w:r w:rsidRPr="00C07BD4">
        <w:t>Zahavi</w:t>
      </w:r>
      <w:proofErr w:type="spellEnd"/>
      <w:r w:rsidRPr="00C07BD4">
        <w:t xml:space="preserve">, </w:t>
      </w:r>
      <w:r w:rsidR="00C07BD4" w:rsidRPr="00C07BD4">
        <w:t>D. (</w:t>
      </w:r>
      <w:r w:rsidRPr="00C07BD4">
        <w:t>2003</w:t>
      </w:r>
      <w:r w:rsidR="00C07BD4" w:rsidRPr="00C07BD4">
        <w:t xml:space="preserve">b). </w:t>
      </w:r>
      <w:proofErr w:type="gramStart"/>
      <w:r w:rsidR="00C07BD4" w:rsidRPr="00C07BD4">
        <w:rPr>
          <w:i/>
        </w:rPr>
        <w:t>Husserl’s phenomenology.</w:t>
      </w:r>
      <w:proofErr w:type="gramEnd"/>
      <w:r w:rsidR="00C07BD4" w:rsidRPr="00C07BD4">
        <w:t xml:space="preserve"> Stanford, CA: Stanford University Press.</w:t>
      </w:r>
    </w:p>
    <w:p w:rsidR="003740B8" w:rsidRDefault="00A43431" w:rsidP="00A43431">
      <w:pPr>
        <w:pStyle w:val="References"/>
      </w:pPr>
      <w:proofErr w:type="spellStart"/>
      <w:proofErr w:type="gramStart"/>
      <w:r w:rsidRPr="00A43431">
        <w:t>Zaslavsky</w:t>
      </w:r>
      <w:proofErr w:type="spellEnd"/>
      <w:r w:rsidRPr="00A43431">
        <w:t xml:space="preserve">, O., Nickerson, S. D., </w:t>
      </w:r>
      <w:proofErr w:type="spellStart"/>
      <w:r w:rsidRPr="00A43431">
        <w:t>Stylianides</w:t>
      </w:r>
      <w:proofErr w:type="spellEnd"/>
      <w:r w:rsidRPr="00A43431">
        <w:t xml:space="preserve">, A. J., </w:t>
      </w:r>
      <w:proofErr w:type="spellStart"/>
      <w:r w:rsidRPr="00A43431">
        <w:t>Kidron</w:t>
      </w:r>
      <w:proofErr w:type="spellEnd"/>
      <w:r w:rsidRPr="00A43431">
        <w:t xml:space="preserve">, I., &amp; </w:t>
      </w:r>
      <w:proofErr w:type="spellStart"/>
      <w:r w:rsidRPr="00A43431">
        <w:t>Winicki-Landman</w:t>
      </w:r>
      <w:proofErr w:type="spellEnd"/>
      <w:r w:rsidRPr="00A43431">
        <w:t>, G. (2012).</w:t>
      </w:r>
      <w:proofErr w:type="gramEnd"/>
      <w:r w:rsidRPr="00A43431">
        <w:t xml:space="preserve"> The need for proof and proving: mathematical and pedagogical perspectives</w:t>
      </w:r>
      <w:r w:rsidRPr="00A43431">
        <w:rPr>
          <w:i/>
        </w:rPr>
        <w:t>.</w:t>
      </w:r>
      <w:r w:rsidRPr="00A43431">
        <w:t xml:space="preserve"> </w:t>
      </w:r>
      <w:proofErr w:type="gramStart"/>
      <w:r w:rsidRPr="00A43431">
        <w:t xml:space="preserve">In G. Hanna and M. de Villiers (Eds.), </w:t>
      </w:r>
      <w:r w:rsidRPr="00A43431">
        <w:rPr>
          <w:i/>
        </w:rPr>
        <w:t>Proof and proving in mathematics education</w:t>
      </w:r>
      <w:r w:rsidRPr="00A43431">
        <w:t xml:space="preserve"> (pp. 215-230).</w:t>
      </w:r>
      <w:proofErr w:type="gramEnd"/>
      <w:r w:rsidRPr="00A43431">
        <w:t xml:space="preserve"> New York: Springer.</w:t>
      </w:r>
    </w:p>
    <w:sectPr w:rsidR="003740B8" w:rsidSect="0098075E">
      <w:headerReference w:type="default" r:id="rId8"/>
      <w:pgSz w:w="11906" w:h="16838" w:code="9"/>
      <w:pgMar w:top="1304" w:right="1134" w:bottom="1531" w:left="1134" w:header="851" w:footer="851"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A4E" w:rsidRDefault="00A13A4E">
      <w:r>
        <w:separator/>
      </w:r>
    </w:p>
  </w:endnote>
  <w:endnote w:type="continuationSeparator" w:id="0">
    <w:p w:rsidR="00A13A4E" w:rsidRDefault="00A13A4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A4E" w:rsidRDefault="00A13A4E">
      <w:r>
        <w:separator/>
      </w:r>
    </w:p>
  </w:footnote>
  <w:footnote w:type="continuationSeparator" w:id="0">
    <w:p w:rsidR="00A13A4E" w:rsidRDefault="00A13A4E">
      <w:r>
        <w:continuationSeparator/>
      </w:r>
    </w:p>
  </w:footnote>
  <w:footnote w:id="1">
    <w:p w:rsidR="00264A1A" w:rsidRDefault="00264A1A">
      <w:pPr>
        <w:pStyle w:val="FootnoteText"/>
      </w:pPr>
      <w:r>
        <w:rPr>
          <w:rStyle w:val="FootnoteReference"/>
        </w:rPr>
        <w:footnoteRef/>
      </w:r>
      <w:r w:rsidR="00541CE4">
        <w:t xml:space="preserve"> The present</w:t>
      </w:r>
      <w:r>
        <w:t xml:space="preserve"> paper synthesises and extends ideas discussed in: a) </w:t>
      </w:r>
      <w:proofErr w:type="spellStart"/>
      <w:r w:rsidRPr="005F4A20">
        <w:t>Moutsios-Rentzos</w:t>
      </w:r>
      <w:proofErr w:type="spellEnd"/>
      <w:r w:rsidRPr="005F4A20">
        <w:t xml:space="preserve">, A., &amp; </w:t>
      </w:r>
      <w:proofErr w:type="spellStart"/>
      <w:r w:rsidRPr="005F4A20">
        <w:t>Spyrou</w:t>
      </w:r>
      <w:proofErr w:type="spellEnd"/>
      <w:r w:rsidRPr="005F4A20">
        <w:t xml:space="preserve">, P. (2013). </w:t>
      </w:r>
      <w:r w:rsidRPr="005F4A20">
        <w:rPr>
          <w:i/>
        </w:rPr>
        <w:t xml:space="preserve">The need for proof in geometry: A theoretical investigation through Husserl’s phenomenology. </w:t>
      </w:r>
      <w:proofErr w:type="gramStart"/>
      <w:r w:rsidRPr="005F4A20">
        <w:t>Proceedings of the 37th Conference of the International Group for the Psychology of Mathematics Education (Vol. 3, pp. 329-336).</w:t>
      </w:r>
      <w:proofErr w:type="gramEnd"/>
      <w:r w:rsidRPr="005F4A20">
        <w:t xml:space="preserve"> Kiel, Germany: </w:t>
      </w:r>
      <w:proofErr w:type="gramStart"/>
      <w:r w:rsidRPr="005F4A20">
        <w:t>PME</w:t>
      </w:r>
      <w:r>
        <w:t>.,</w:t>
      </w:r>
      <w:proofErr w:type="gramEnd"/>
      <w:r>
        <w:t xml:space="preserve"> and b) </w:t>
      </w:r>
      <w:proofErr w:type="spellStart"/>
      <w:r w:rsidRPr="005F4A20">
        <w:t>Moutsios</w:t>
      </w:r>
      <w:proofErr w:type="spellEnd"/>
      <w:r w:rsidRPr="005F4A20">
        <w:rPr>
          <w:lang w:val="en-US"/>
        </w:rPr>
        <w:t>-</w:t>
      </w:r>
      <w:proofErr w:type="spellStart"/>
      <w:r w:rsidRPr="005F4A20">
        <w:t>Rentzos</w:t>
      </w:r>
      <w:proofErr w:type="spellEnd"/>
      <w:r w:rsidRPr="005F4A20">
        <w:rPr>
          <w:lang w:val="en-US"/>
        </w:rPr>
        <w:t xml:space="preserve">, </w:t>
      </w:r>
      <w:r w:rsidRPr="005F4A20">
        <w:t>A</w:t>
      </w:r>
      <w:r w:rsidRPr="005F4A20">
        <w:rPr>
          <w:lang w:val="en-US"/>
        </w:rPr>
        <w:t xml:space="preserve">., &amp; </w:t>
      </w:r>
      <w:proofErr w:type="spellStart"/>
      <w:r w:rsidRPr="005F4A20">
        <w:rPr>
          <w:lang w:val="en-US"/>
        </w:rPr>
        <w:t>Spyrou</w:t>
      </w:r>
      <w:proofErr w:type="spellEnd"/>
      <w:r w:rsidRPr="005F4A20">
        <w:rPr>
          <w:lang w:val="en-US"/>
        </w:rPr>
        <w:t>, P. (</w:t>
      </w:r>
      <w:r>
        <w:t>in press</w:t>
      </w:r>
      <w:r w:rsidRPr="005F4A20">
        <w:rPr>
          <w:lang w:val="en-US"/>
        </w:rPr>
        <w:t xml:space="preserve">). The genesis of proof in ancient Greece: the pedagogical implications of a </w:t>
      </w:r>
      <w:proofErr w:type="spellStart"/>
      <w:r w:rsidRPr="005F4A20">
        <w:rPr>
          <w:lang w:val="en-US"/>
        </w:rPr>
        <w:t>Husserlian</w:t>
      </w:r>
      <w:proofErr w:type="spellEnd"/>
      <w:r w:rsidRPr="005F4A20">
        <w:rPr>
          <w:lang w:val="en-US"/>
        </w:rPr>
        <w:t xml:space="preserve"> reading. </w:t>
      </w:r>
      <w:proofErr w:type="gramStart"/>
      <w:r w:rsidRPr="005F4A20">
        <w:rPr>
          <w:lang w:val="en-US"/>
        </w:rPr>
        <w:t xml:space="preserve">In </w:t>
      </w:r>
      <w:proofErr w:type="spellStart"/>
      <w:r w:rsidRPr="005F4A20">
        <w:rPr>
          <w:lang w:val="en-US"/>
        </w:rPr>
        <w:t>Krainer</w:t>
      </w:r>
      <w:proofErr w:type="spellEnd"/>
      <w:r w:rsidRPr="005F4A20">
        <w:rPr>
          <w:lang w:val="en-US"/>
        </w:rPr>
        <w:t xml:space="preserve">, K., &amp; </w:t>
      </w:r>
      <w:proofErr w:type="spellStart"/>
      <w:r w:rsidRPr="005F4A20">
        <w:rPr>
          <w:lang w:val="en-US"/>
        </w:rPr>
        <w:t>Vondrová</w:t>
      </w:r>
      <w:proofErr w:type="spellEnd"/>
      <w:r w:rsidRPr="005F4A20">
        <w:rPr>
          <w:lang w:val="en-US"/>
        </w:rPr>
        <w:t xml:space="preserve">, N. (Eds.) </w:t>
      </w:r>
      <w:r w:rsidRPr="005F4A20">
        <w:rPr>
          <w:i/>
          <w:lang w:val="en-US"/>
        </w:rPr>
        <w:t>Proceedings of CERME 9</w:t>
      </w:r>
      <w:r w:rsidRPr="005F4A20">
        <w:rPr>
          <w:lang w:val="en-US"/>
        </w:rPr>
        <w:t>.</w:t>
      </w:r>
      <w:proofErr w:type="gramEnd"/>
      <w:r w:rsidRPr="005F4A20">
        <w:rPr>
          <w:lang w:val="en-US"/>
        </w:rPr>
        <w:t xml:space="preserve"> </w:t>
      </w:r>
      <w:proofErr w:type="gramStart"/>
      <w:r w:rsidRPr="005F4A20">
        <w:rPr>
          <w:lang w:val="en-US"/>
        </w:rPr>
        <w:t>Published at HAL archives website: https://hal.archives-ouvertes.fr/</w:t>
      </w:r>
      <w:r>
        <w:rPr>
          <w:lang w:val="en-US"/>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A1A" w:rsidRDefault="00264A1A">
    <w:pPr>
      <w:framePr w:wrap="auto" w:vAnchor="text" w:hAnchor="margin" w:xAlign="right" w:y="1"/>
    </w:pPr>
  </w:p>
  <w:p w:rsidR="00264A1A" w:rsidRDefault="00264A1A">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04FFC"/>
    <w:multiLevelType w:val="hybridMultilevel"/>
    <w:tmpl w:val="A6C45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CB4FCF"/>
    <w:multiLevelType w:val="hybridMultilevel"/>
    <w:tmpl w:val="F98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CE7332"/>
    <w:multiLevelType w:val="hybridMultilevel"/>
    <w:tmpl w:val="3A2E5C88"/>
    <w:lvl w:ilvl="0" w:tplc="232CAA8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808"/>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rsids>
    <w:rsidRoot w:val="00E81D7C"/>
    <w:rsid w:val="0001213C"/>
    <w:rsid w:val="00014309"/>
    <w:rsid w:val="00015736"/>
    <w:rsid w:val="00022FA1"/>
    <w:rsid w:val="000249D8"/>
    <w:rsid w:val="000516AD"/>
    <w:rsid w:val="00053B01"/>
    <w:rsid w:val="0005432B"/>
    <w:rsid w:val="0006296E"/>
    <w:rsid w:val="0008553C"/>
    <w:rsid w:val="000870F6"/>
    <w:rsid w:val="00090846"/>
    <w:rsid w:val="000925C0"/>
    <w:rsid w:val="00095B65"/>
    <w:rsid w:val="000D0DFB"/>
    <w:rsid w:val="000E05FC"/>
    <w:rsid w:val="00104F73"/>
    <w:rsid w:val="001127FC"/>
    <w:rsid w:val="00116938"/>
    <w:rsid w:val="001322CE"/>
    <w:rsid w:val="00133BC4"/>
    <w:rsid w:val="0014435C"/>
    <w:rsid w:val="0015050A"/>
    <w:rsid w:val="0015157D"/>
    <w:rsid w:val="00152F94"/>
    <w:rsid w:val="0015571E"/>
    <w:rsid w:val="0016540B"/>
    <w:rsid w:val="00172D5C"/>
    <w:rsid w:val="0017535C"/>
    <w:rsid w:val="001757D1"/>
    <w:rsid w:val="00183C47"/>
    <w:rsid w:val="0018644C"/>
    <w:rsid w:val="00197B24"/>
    <w:rsid w:val="001A7383"/>
    <w:rsid w:val="001A7D1D"/>
    <w:rsid w:val="001B74CB"/>
    <w:rsid w:val="001C38FC"/>
    <w:rsid w:val="001C3B36"/>
    <w:rsid w:val="001D6EB9"/>
    <w:rsid w:val="001D70E6"/>
    <w:rsid w:val="001E7938"/>
    <w:rsid w:val="001F6E79"/>
    <w:rsid w:val="0020338D"/>
    <w:rsid w:val="002039A8"/>
    <w:rsid w:val="00205672"/>
    <w:rsid w:val="00210908"/>
    <w:rsid w:val="0022584B"/>
    <w:rsid w:val="00232004"/>
    <w:rsid w:val="00244CA7"/>
    <w:rsid w:val="0024695B"/>
    <w:rsid w:val="002578B3"/>
    <w:rsid w:val="00263B10"/>
    <w:rsid w:val="00264A1A"/>
    <w:rsid w:val="00280674"/>
    <w:rsid w:val="002842B2"/>
    <w:rsid w:val="00292DFF"/>
    <w:rsid w:val="002A0B31"/>
    <w:rsid w:val="002A1285"/>
    <w:rsid w:val="002B5752"/>
    <w:rsid w:val="002C43F4"/>
    <w:rsid w:val="002D08FA"/>
    <w:rsid w:val="002D14F3"/>
    <w:rsid w:val="002D1D32"/>
    <w:rsid w:val="002E2CCC"/>
    <w:rsid w:val="002F00BB"/>
    <w:rsid w:val="002F097D"/>
    <w:rsid w:val="002F3B85"/>
    <w:rsid w:val="00303FC9"/>
    <w:rsid w:val="00307771"/>
    <w:rsid w:val="00310BF6"/>
    <w:rsid w:val="003118C5"/>
    <w:rsid w:val="00320E04"/>
    <w:rsid w:val="00323088"/>
    <w:rsid w:val="003241EE"/>
    <w:rsid w:val="00331E7A"/>
    <w:rsid w:val="00343A92"/>
    <w:rsid w:val="003445C3"/>
    <w:rsid w:val="003571B0"/>
    <w:rsid w:val="003576D3"/>
    <w:rsid w:val="00362E1D"/>
    <w:rsid w:val="003740B8"/>
    <w:rsid w:val="00377A55"/>
    <w:rsid w:val="00395ADF"/>
    <w:rsid w:val="003A3922"/>
    <w:rsid w:val="003B0D36"/>
    <w:rsid w:val="003B2308"/>
    <w:rsid w:val="003C3DD2"/>
    <w:rsid w:val="003C7AC1"/>
    <w:rsid w:val="003D43AF"/>
    <w:rsid w:val="003D4DDD"/>
    <w:rsid w:val="003D72B7"/>
    <w:rsid w:val="003E1E4B"/>
    <w:rsid w:val="003E4D6B"/>
    <w:rsid w:val="003F304F"/>
    <w:rsid w:val="00402250"/>
    <w:rsid w:val="00410509"/>
    <w:rsid w:val="00412330"/>
    <w:rsid w:val="004247BE"/>
    <w:rsid w:val="00431C23"/>
    <w:rsid w:val="00440A7C"/>
    <w:rsid w:val="00441FDA"/>
    <w:rsid w:val="00446826"/>
    <w:rsid w:val="00447D50"/>
    <w:rsid w:val="00473904"/>
    <w:rsid w:val="00475679"/>
    <w:rsid w:val="004B2F4B"/>
    <w:rsid w:val="004B3C5E"/>
    <w:rsid w:val="004C45D2"/>
    <w:rsid w:val="004E0F32"/>
    <w:rsid w:val="004E350D"/>
    <w:rsid w:val="004E754D"/>
    <w:rsid w:val="004F52C1"/>
    <w:rsid w:val="004F6C90"/>
    <w:rsid w:val="00517EE7"/>
    <w:rsid w:val="00530B1E"/>
    <w:rsid w:val="00541CE4"/>
    <w:rsid w:val="00544F62"/>
    <w:rsid w:val="00552682"/>
    <w:rsid w:val="005529AA"/>
    <w:rsid w:val="005559FB"/>
    <w:rsid w:val="005631C1"/>
    <w:rsid w:val="0056463B"/>
    <w:rsid w:val="00570591"/>
    <w:rsid w:val="0057450B"/>
    <w:rsid w:val="00575CB3"/>
    <w:rsid w:val="005878CF"/>
    <w:rsid w:val="00594BFD"/>
    <w:rsid w:val="005A0E8E"/>
    <w:rsid w:val="005A535E"/>
    <w:rsid w:val="005B1AAB"/>
    <w:rsid w:val="005B693F"/>
    <w:rsid w:val="005C175F"/>
    <w:rsid w:val="005C653F"/>
    <w:rsid w:val="005C6CA1"/>
    <w:rsid w:val="005E39A0"/>
    <w:rsid w:val="005F4A20"/>
    <w:rsid w:val="0061733D"/>
    <w:rsid w:val="0061742A"/>
    <w:rsid w:val="006246C6"/>
    <w:rsid w:val="00631915"/>
    <w:rsid w:val="006337C1"/>
    <w:rsid w:val="00650496"/>
    <w:rsid w:val="00665E01"/>
    <w:rsid w:val="00665E45"/>
    <w:rsid w:val="006668F9"/>
    <w:rsid w:val="00666A2A"/>
    <w:rsid w:val="006743A7"/>
    <w:rsid w:val="006753B3"/>
    <w:rsid w:val="00676A27"/>
    <w:rsid w:val="006974C7"/>
    <w:rsid w:val="006A7A6F"/>
    <w:rsid w:val="006B1268"/>
    <w:rsid w:val="006C3160"/>
    <w:rsid w:val="006C4A20"/>
    <w:rsid w:val="006F324C"/>
    <w:rsid w:val="006F3FBE"/>
    <w:rsid w:val="00703979"/>
    <w:rsid w:val="00711F8B"/>
    <w:rsid w:val="00724B63"/>
    <w:rsid w:val="00726229"/>
    <w:rsid w:val="0073310C"/>
    <w:rsid w:val="007366D0"/>
    <w:rsid w:val="007430FE"/>
    <w:rsid w:val="00747A6C"/>
    <w:rsid w:val="007559C9"/>
    <w:rsid w:val="00756BD4"/>
    <w:rsid w:val="007737E4"/>
    <w:rsid w:val="00781B5B"/>
    <w:rsid w:val="007B4054"/>
    <w:rsid w:val="007C1CEE"/>
    <w:rsid w:val="007C4435"/>
    <w:rsid w:val="007C5246"/>
    <w:rsid w:val="007C6302"/>
    <w:rsid w:val="007D2A0C"/>
    <w:rsid w:val="007D4416"/>
    <w:rsid w:val="00816AD1"/>
    <w:rsid w:val="0082225B"/>
    <w:rsid w:val="00824D4E"/>
    <w:rsid w:val="008268FD"/>
    <w:rsid w:val="008331A2"/>
    <w:rsid w:val="00844C1F"/>
    <w:rsid w:val="00846B82"/>
    <w:rsid w:val="00855741"/>
    <w:rsid w:val="00857303"/>
    <w:rsid w:val="00857957"/>
    <w:rsid w:val="00872A96"/>
    <w:rsid w:val="008851C7"/>
    <w:rsid w:val="008A2BA9"/>
    <w:rsid w:val="008A3D36"/>
    <w:rsid w:val="008A4E27"/>
    <w:rsid w:val="008B0C74"/>
    <w:rsid w:val="008B4A43"/>
    <w:rsid w:val="008B6DFD"/>
    <w:rsid w:val="008C5264"/>
    <w:rsid w:val="008F3B88"/>
    <w:rsid w:val="008F6CD8"/>
    <w:rsid w:val="00901106"/>
    <w:rsid w:val="00916309"/>
    <w:rsid w:val="00916914"/>
    <w:rsid w:val="0092161C"/>
    <w:rsid w:val="00923007"/>
    <w:rsid w:val="00924550"/>
    <w:rsid w:val="00943C0E"/>
    <w:rsid w:val="00947368"/>
    <w:rsid w:val="00961DBB"/>
    <w:rsid w:val="00962F86"/>
    <w:rsid w:val="009652B0"/>
    <w:rsid w:val="00966E5F"/>
    <w:rsid w:val="0098075E"/>
    <w:rsid w:val="00996EC5"/>
    <w:rsid w:val="009C13A4"/>
    <w:rsid w:val="009C21D6"/>
    <w:rsid w:val="009C31F1"/>
    <w:rsid w:val="009C4094"/>
    <w:rsid w:val="009D3A61"/>
    <w:rsid w:val="009E11E7"/>
    <w:rsid w:val="009E2F7F"/>
    <w:rsid w:val="009F5BFC"/>
    <w:rsid w:val="009F6895"/>
    <w:rsid w:val="009F750C"/>
    <w:rsid w:val="00A004A2"/>
    <w:rsid w:val="00A019E7"/>
    <w:rsid w:val="00A020ED"/>
    <w:rsid w:val="00A03BCF"/>
    <w:rsid w:val="00A130DB"/>
    <w:rsid w:val="00A13A4E"/>
    <w:rsid w:val="00A15F98"/>
    <w:rsid w:val="00A2633A"/>
    <w:rsid w:val="00A40F6F"/>
    <w:rsid w:val="00A43431"/>
    <w:rsid w:val="00A45118"/>
    <w:rsid w:val="00A46E49"/>
    <w:rsid w:val="00A47B07"/>
    <w:rsid w:val="00A5694F"/>
    <w:rsid w:val="00A60FFC"/>
    <w:rsid w:val="00A71D8F"/>
    <w:rsid w:val="00A771A4"/>
    <w:rsid w:val="00A773D8"/>
    <w:rsid w:val="00A77560"/>
    <w:rsid w:val="00A818C2"/>
    <w:rsid w:val="00A87E93"/>
    <w:rsid w:val="00AB1316"/>
    <w:rsid w:val="00AB3576"/>
    <w:rsid w:val="00AC3596"/>
    <w:rsid w:val="00AD6959"/>
    <w:rsid w:val="00AD729D"/>
    <w:rsid w:val="00AE50C2"/>
    <w:rsid w:val="00AE59CA"/>
    <w:rsid w:val="00AF07FA"/>
    <w:rsid w:val="00AF28F6"/>
    <w:rsid w:val="00AF3B09"/>
    <w:rsid w:val="00AF5474"/>
    <w:rsid w:val="00B012CF"/>
    <w:rsid w:val="00B16883"/>
    <w:rsid w:val="00B232DD"/>
    <w:rsid w:val="00B24A75"/>
    <w:rsid w:val="00B26AF2"/>
    <w:rsid w:val="00B333C7"/>
    <w:rsid w:val="00B33F73"/>
    <w:rsid w:val="00B4517B"/>
    <w:rsid w:val="00B56F79"/>
    <w:rsid w:val="00B62AFA"/>
    <w:rsid w:val="00B64482"/>
    <w:rsid w:val="00B7217F"/>
    <w:rsid w:val="00B90700"/>
    <w:rsid w:val="00B9389F"/>
    <w:rsid w:val="00BB111B"/>
    <w:rsid w:val="00BC658D"/>
    <w:rsid w:val="00BE0140"/>
    <w:rsid w:val="00BF5698"/>
    <w:rsid w:val="00C04614"/>
    <w:rsid w:val="00C07BD4"/>
    <w:rsid w:val="00C2009F"/>
    <w:rsid w:val="00C21BD4"/>
    <w:rsid w:val="00C35709"/>
    <w:rsid w:val="00C45711"/>
    <w:rsid w:val="00C7020A"/>
    <w:rsid w:val="00C70B0D"/>
    <w:rsid w:val="00C70FA8"/>
    <w:rsid w:val="00C7145D"/>
    <w:rsid w:val="00CA009C"/>
    <w:rsid w:val="00CB5FC1"/>
    <w:rsid w:val="00CB65F8"/>
    <w:rsid w:val="00CC0B01"/>
    <w:rsid w:val="00CC41DF"/>
    <w:rsid w:val="00CC424F"/>
    <w:rsid w:val="00CD2674"/>
    <w:rsid w:val="00CF213E"/>
    <w:rsid w:val="00D006BE"/>
    <w:rsid w:val="00D032B7"/>
    <w:rsid w:val="00D07692"/>
    <w:rsid w:val="00D1308D"/>
    <w:rsid w:val="00D335E8"/>
    <w:rsid w:val="00D40F1F"/>
    <w:rsid w:val="00D5104C"/>
    <w:rsid w:val="00D559D2"/>
    <w:rsid w:val="00D62482"/>
    <w:rsid w:val="00D71075"/>
    <w:rsid w:val="00D738E7"/>
    <w:rsid w:val="00D776DE"/>
    <w:rsid w:val="00D801BD"/>
    <w:rsid w:val="00D862D2"/>
    <w:rsid w:val="00D93660"/>
    <w:rsid w:val="00DA5F7A"/>
    <w:rsid w:val="00DB3C8D"/>
    <w:rsid w:val="00DB6812"/>
    <w:rsid w:val="00DC63D8"/>
    <w:rsid w:val="00DD1984"/>
    <w:rsid w:val="00DD694A"/>
    <w:rsid w:val="00DE7C96"/>
    <w:rsid w:val="00E01CB7"/>
    <w:rsid w:val="00E31590"/>
    <w:rsid w:val="00E4029C"/>
    <w:rsid w:val="00E42F81"/>
    <w:rsid w:val="00E660A0"/>
    <w:rsid w:val="00E67A62"/>
    <w:rsid w:val="00E81D7C"/>
    <w:rsid w:val="00E96398"/>
    <w:rsid w:val="00EC3E50"/>
    <w:rsid w:val="00EC6E86"/>
    <w:rsid w:val="00ED084C"/>
    <w:rsid w:val="00ED19EE"/>
    <w:rsid w:val="00ED4D1B"/>
    <w:rsid w:val="00EE5C01"/>
    <w:rsid w:val="00EE770D"/>
    <w:rsid w:val="00EF322B"/>
    <w:rsid w:val="00EF4285"/>
    <w:rsid w:val="00F01AE0"/>
    <w:rsid w:val="00F02D3E"/>
    <w:rsid w:val="00F070EE"/>
    <w:rsid w:val="00F2045D"/>
    <w:rsid w:val="00F21E72"/>
    <w:rsid w:val="00F23071"/>
    <w:rsid w:val="00F4172B"/>
    <w:rsid w:val="00F57865"/>
    <w:rsid w:val="00F64A18"/>
    <w:rsid w:val="00F70994"/>
    <w:rsid w:val="00F7498A"/>
    <w:rsid w:val="00F91EC7"/>
    <w:rsid w:val="00F95A33"/>
    <w:rsid w:val="00FA4642"/>
    <w:rsid w:val="00FA4719"/>
    <w:rsid w:val="00FA60CB"/>
    <w:rsid w:val="00FB1EF5"/>
    <w:rsid w:val="00FC60E5"/>
    <w:rsid w:val="00FC77A3"/>
    <w:rsid w:val="00FC7B83"/>
    <w:rsid w:val="00FE0084"/>
    <w:rsid w:val="00FE1F27"/>
    <w:rsid w:val="00FE6A2E"/>
    <w:rsid w:val="0348BF5E"/>
    <w:rsid w:val="05D4D783"/>
    <w:rsid w:val="05EC0165"/>
    <w:rsid w:val="0BBA3B5F"/>
    <w:rsid w:val="1589BDAC"/>
    <w:rsid w:val="1C34D77D"/>
    <w:rsid w:val="1F1AD206"/>
    <w:rsid w:val="2392E6ED"/>
    <w:rsid w:val="25A1E2E9"/>
    <w:rsid w:val="289DBC8A"/>
    <w:rsid w:val="2B2765BC"/>
    <w:rsid w:val="2EA6120E"/>
    <w:rsid w:val="3D38A781"/>
    <w:rsid w:val="3DB5D28C"/>
    <w:rsid w:val="400DC388"/>
    <w:rsid w:val="43BE403A"/>
    <w:rsid w:val="4421DC23"/>
    <w:rsid w:val="4A358F0C"/>
    <w:rsid w:val="58CFDDB6"/>
    <w:rsid w:val="67D8C311"/>
    <w:rsid w:val="75E7498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B24"/>
    <w:pPr>
      <w:autoSpaceDE w:val="0"/>
      <w:autoSpaceDN w:val="0"/>
      <w:spacing w:after="120" w:line="320" w:lineRule="atLeast"/>
      <w:jc w:val="both"/>
    </w:pPr>
    <w:rPr>
      <w:sz w:val="28"/>
      <w:szCs w:val="28"/>
      <w:lang w:val="en-GB" w:eastAsia="en-US"/>
    </w:rPr>
  </w:style>
  <w:style w:type="paragraph" w:styleId="Heading1">
    <w:name w:val="heading 1"/>
    <w:basedOn w:val="Normal"/>
    <w:next w:val="Normal"/>
    <w:qFormat/>
    <w:rsid w:val="0098075E"/>
    <w:pPr>
      <w:keepNext/>
      <w:spacing w:line="400" w:lineRule="exact"/>
      <w:jc w:val="center"/>
      <w:outlineLvl w:val="0"/>
    </w:pPr>
    <w:rPr>
      <w:b/>
      <w:bCs/>
      <w:caps/>
      <w:kern w:val="28"/>
      <w:sz w:val="32"/>
      <w:szCs w:val="32"/>
    </w:rPr>
  </w:style>
  <w:style w:type="paragraph" w:styleId="Heading2">
    <w:name w:val="heading 2"/>
    <w:basedOn w:val="Normal"/>
    <w:next w:val="Normal"/>
    <w:qFormat/>
    <w:rsid w:val="0098075E"/>
    <w:pPr>
      <w:keepNext/>
      <w:spacing w:before="120"/>
      <w:outlineLvl w:val="1"/>
    </w:pPr>
    <w:rPr>
      <w:b/>
      <w:bCs/>
      <w:caps/>
    </w:rPr>
  </w:style>
  <w:style w:type="paragraph" w:styleId="Heading3">
    <w:name w:val="heading 3"/>
    <w:basedOn w:val="Normal"/>
    <w:next w:val="Normal"/>
    <w:qFormat/>
    <w:rsid w:val="0098075E"/>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transcript">
    <w:name w:val="Numbered transcript"/>
    <w:basedOn w:val="Normal"/>
    <w:rsid w:val="0098075E"/>
    <w:pPr>
      <w:tabs>
        <w:tab w:val="left" w:pos="851"/>
      </w:tabs>
      <w:spacing w:after="60" w:line="280" w:lineRule="exact"/>
      <w:ind w:left="2268" w:hanging="1984"/>
    </w:pPr>
    <w:rPr>
      <w:sz w:val="26"/>
      <w:szCs w:val="26"/>
    </w:rPr>
  </w:style>
  <w:style w:type="paragraph" w:styleId="Quote">
    <w:name w:val="Quote"/>
    <w:basedOn w:val="Normal"/>
    <w:qFormat/>
    <w:rsid w:val="0098075E"/>
    <w:pPr>
      <w:ind w:left="284"/>
    </w:pPr>
    <w:rPr>
      <w:sz w:val="26"/>
      <w:szCs w:val="26"/>
    </w:rPr>
  </w:style>
  <w:style w:type="paragraph" w:customStyle="1" w:styleId="References">
    <w:name w:val="References"/>
    <w:basedOn w:val="Normal"/>
    <w:rsid w:val="0098075E"/>
    <w:pPr>
      <w:ind w:left="284" w:hanging="284"/>
    </w:pPr>
  </w:style>
  <w:style w:type="paragraph" w:customStyle="1" w:styleId="Endnote">
    <w:name w:val="Endnote"/>
    <w:basedOn w:val="Normal"/>
    <w:rsid w:val="0098075E"/>
    <w:rPr>
      <w:sz w:val="24"/>
      <w:szCs w:val="24"/>
    </w:rPr>
  </w:style>
  <w:style w:type="paragraph" w:customStyle="1" w:styleId="FigTitle">
    <w:name w:val="FigTitle"/>
    <w:basedOn w:val="Normal"/>
    <w:rsid w:val="0098075E"/>
    <w:pPr>
      <w:spacing w:before="120"/>
    </w:pPr>
    <w:rPr>
      <w:b/>
      <w:bCs/>
      <w:sz w:val="26"/>
      <w:szCs w:val="26"/>
    </w:rPr>
  </w:style>
  <w:style w:type="paragraph" w:customStyle="1" w:styleId="Transcript">
    <w:name w:val="Transcript"/>
    <w:basedOn w:val="Normal"/>
    <w:rsid w:val="0098075E"/>
    <w:pPr>
      <w:ind w:left="1702" w:hanging="1418"/>
    </w:pPr>
    <w:rPr>
      <w:sz w:val="26"/>
      <w:szCs w:val="26"/>
    </w:rPr>
  </w:style>
  <w:style w:type="paragraph" w:styleId="DocumentMap">
    <w:name w:val="Document Map"/>
    <w:basedOn w:val="Normal"/>
    <w:semiHidden/>
    <w:rsid w:val="0098075E"/>
    <w:pPr>
      <w:shd w:val="clear" w:color="auto" w:fill="000080"/>
    </w:pPr>
    <w:rPr>
      <w:rFonts w:ascii="Tahoma" w:hAnsi="Tahoma" w:cs="Tahoma"/>
    </w:rPr>
  </w:style>
  <w:style w:type="paragraph" w:styleId="Footer">
    <w:name w:val="footer"/>
    <w:basedOn w:val="Normal"/>
    <w:rsid w:val="008A4E27"/>
    <w:pPr>
      <w:tabs>
        <w:tab w:val="center" w:pos="4320"/>
        <w:tab w:val="right" w:pos="8640"/>
      </w:tabs>
    </w:pPr>
  </w:style>
  <w:style w:type="character" w:styleId="PageNumber">
    <w:name w:val="page number"/>
    <w:basedOn w:val="DefaultParagraphFont"/>
    <w:rsid w:val="008A4E27"/>
  </w:style>
  <w:style w:type="paragraph" w:styleId="CommentText">
    <w:name w:val="annotation text"/>
    <w:basedOn w:val="Normal"/>
    <w:link w:val="CommentTextChar"/>
    <w:rsid w:val="0098075E"/>
    <w:pPr>
      <w:spacing w:line="240" w:lineRule="auto"/>
    </w:pPr>
    <w:rPr>
      <w:sz w:val="20"/>
      <w:szCs w:val="20"/>
    </w:rPr>
  </w:style>
  <w:style w:type="character" w:customStyle="1" w:styleId="CommentTextChar">
    <w:name w:val="Comment Text Char"/>
    <w:basedOn w:val="DefaultParagraphFont"/>
    <w:link w:val="CommentText"/>
    <w:rsid w:val="0098075E"/>
    <w:rPr>
      <w:lang w:val="en-GB" w:eastAsia="en-US"/>
    </w:rPr>
  </w:style>
  <w:style w:type="character" w:styleId="CommentReference">
    <w:name w:val="annotation reference"/>
    <w:basedOn w:val="DefaultParagraphFont"/>
    <w:rsid w:val="0098075E"/>
    <w:rPr>
      <w:sz w:val="16"/>
      <w:szCs w:val="16"/>
    </w:rPr>
  </w:style>
  <w:style w:type="paragraph" w:styleId="BalloonText">
    <w:name w:val="Balloon Text"/>
    <w:basedOn w:val="Normal"/>
    <w:link w:val="BalloonTextChar"/>
    <w:rsid w:val="007D44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D4416"/>
    <w:rPr>
      <w:rFonts w:ascii="Segoe UI" w:hAnsi="Segoe UI" w:cs="Segoe UI"/>
      <w:sz w:val="18"/>
      <w:szCs w:val="18"/>
      <w:lang w:val="en-GB" w:eastAsia="en-US"/>
    </w:rPr>
  </w:style>
  <w:style w:type="paragraph" w:styleId="FootnoteText">
    <w:name w:val="footnote text"/>
    <w:basedOn w:val="Normal"/>
    <w:link w:val="FootnoteTextChar"/>
    <w:rsid w:val="005F4A20"/>
    <w:pPr>
      <w:spacing w:after="0" w:line="240" w:lineRule="auto"/>
    </w:pPr>
    <w:rPr>
      <w:sz w:val="20"/>
      <w:szCs w:val="20"/>
    </w:rPr>
  </w:style>
  <w:style w:type="character" w:customStyle="1" w:styleId="FootnoteTextChar">
    <w:name w:val="Footnote Text Char"/>
    <w:basedOn w:val="DefaultParagraphFont"/>
    <w:link w:val="FootnoteText"/>
    <w:rsid w:val="005F4A20"/>
    <w:rPr>
      <w:lang w:val="en-GB" w:eastAsia="en-US"/>
    </w:rPr>
  </w:style>
  <w:style w:type="character" w:styleId="FootnoteReference">
    <w:name w:val="footnote reference"/>
    <w:basedOn w:val="DefaultParagraphFont"/>
    <w:rsid w:val="005F4A20"/>
    <w:rPr>
      <w:vertAlign w:val="superscript"/>
    </w:rPr>
  </w:style>
  <w:style w:type="paragraph" w:styleId="CommentSubject">
    <w:name w:val="annotation subject"/>
    <w:basedOn w:val="CommentText"/>
    <w:next w:val="CommentText"/>
    <w:link w:val="CommentSubjectChar"/>
    <w:rsid w:val="00A03BCF"/>
    <w:rPr>
      <w:b/>
      <w:bCs/>
    </w:rPr>
  </w:style>
  <w:style w:type="character" w:customStyle="1" w:styleId="CommentSubjectChar">
    <w:name w:val="Comment Subject Char"/>
    <w:basedOn w:val="CommentTextChar"/>
    <w:link w:val="CommentSubject"/>
    <w:rsid w:val="00A03BCF"/>
    <w:rPr>
      <w:b/>
      <w:bCs/>
      <w:lang w:val="en-GB" w:eastAsia="en-US"/>
    </w:rPr>
  </w:style>
  <w:style w:type="character" w:customStyle="1" w:styleId="rpcp1">
    <w:name w:val="_rpc_p1"/>
    <w:basedOn w:val="DefaultParagraphFont"/>
    <w:rsid w:val="003D43AF"/>
  </w:style>
  <w:style w:type="character" w:customStyle="1" w:styleId="rpcs1">
    <w:name w:val="_rpc_s1"/>
    <w:basedOn w:val="DefaultParagraphFont"/>
    <w:rsid w:val="003D43AF"/>
  </w:style>
</w:styles>
</file>

<file path=word/webSettings.xml><?xml version="1.0" encoding="utf-8"?>
<w:webSettings xmlns:r="http://schemas.openxmlformats.org/officeDocument/2006/relationships" xmlns:w="http://schemas.openxmlformats.org/wordprocessingml/2006/main">
  <w:divs>
    <w:div w:id="66537326">
      <w:bodyDiv w:val="1"/>
      <w:marLeft w:val="0"/>
      <w:marRight w:val="0"/>
      <w:marTop w:val="0"/>
      <w:marBottom w:val="0"/>
      <w:divBdr>
        <w:top w:val="none" w:sz="0" w:space="0" w:color="auto"/>
        <w:left w:val="none" w:sz="0" w:space="0" w:color="auto"/>
        <w:bottom w:val="none" w:sz="0" w:space="0" w:color="auto"/>
        <w:right w:val="none" w:sz="0" w:space="0" w:color="auto"/>
      </w:divBdr>
      <w:divsChild>
        <w:div w:id="2018656597">
          <w:marLeft w:val="0"/>
          <w:marRight w:val="0"/>
          <w:marTop w:val="0"/>
          <w:marBottom w:val="0"/>
          <w:divBdr>
            <w:top w:val="none" w:sz="0" w:space="0" w:color="auto"/>
            <w:left w:val="none" w:sz="0" w:space="0" w:color="auto"/>
            <w:bottom w:val="none" w:sz="0" w:space="0" w:color="auto"/>
            <w:right w:val="none" w:sz="0" w:space="0" w:color="auto"/>
          </w:divBdr>
        </w:div>
      </w:divsChild>
    </w:div>
    <w:div w:id="272787551">
      <w:bodyDiv w:val="1"/>
      <w:marLeft w:val="0"/>
      <w:marRight w:val="0"/>
      <w:marTop w:val="0"/>
      <w:marBottom w:val="0"/>
      <w:divBdr>
        <w:top w:val="none" w:sz="0" w:space="0" w:color="auto"/>
        <w:left w:val="none" w:sz="0" w:space="0" w:color="auto"/>
        <w:bottom w:val="none" w:sz="0" w:space="0" w:color="auto"/>
        <w:right w:val="none" w:sz="0" w:space="0" w:color="auto"/>
      </w:divBdr>
    </w:div>
    <w:div w:id="434372946">
      <w:bodyDiv w:val="1"/>
      <w:marLeft w:val="0"/>
      <w:marRight w:val="0"/>
      <w:marTop w:val="0"/>
      <w:marBottom w:val="0"/>
      <w:divBdr>
        <w:top w:val="none" w:sz="0" w:space="0" w:color="auto"/>
        <w:left w:val="none" w:sz="0" w:space="0" w:color="auto"/>
        <w:bottom w:val="none" w:sz="0" w:space="0" w:color="auto"/>
        <w:right w:val="none" w:sz="0" w:space="0" w:color="auto"/>
      </w:divBdr>
    </w:div>
    <w:div w:id="498498506">
      <w:bodyDiv w:val="1"/>
      <w:marLeft w:val="0"/>
      <w:marRight w:val="0"/>
      <w:marTop w:val="0"/>
      <w:marBottom w:val="0"/>
      <w:divBdr>
        <w:top w:val="none" w:sz="0" w:space="0" w:color="auto"/>
        <w:left w:val="none" w:sz="0" w:space="0" w:color="auto"/>
        <w:bottom w:val="none" w:sz="0" w:space="0" w:color="auto"/>
        <w:right w:val="none" w:sz="0" w:space="0" w:color="auto"/>
      </w:divBdr>
    </w:div>
    <w:div w:id="1357268736">
      <w:bodyDiv w:val="1"/>
      <w:marLeft w:val="0"/>
      <w:marRight w:val="0"/>
      <w:marTop w:val="0"/>
      <w:marBottom w:val="0"/>
      <w:divBdr>
        <w:top w:val="none" w:sz="0" w:space="0" w:color="auto"/>
        <w:left w:val="none" w:sz="0" w:space="0" w:color="auto"/>
        <w:bottom w:val="none" w:sz="0" w:space="0" w:color="auto"/>
        <w:right w:val="none" w:sz="0" w:space="0" w:color="auto"/>
      </w:divBdr>
      <w:divsChild>
        <w:div w:id="1013455732">
          <w:marLeft w:val="0"/>
          <w:marRight w:val="0"/>
          <w:marTop w:val="0"/>
          <w:marBottom w:val="0"/>
          <w:divBdr>
            <w:top w:val="none" w:sz="0" w:space="0" w:color="auto"/>
            <w:left w:val="none" w:sz="0" w:space="0" w:color="auto"/>
            <w:bottom w:val="none" w:sz="0" w:space="0" w:color="auto"/>
            <w:right w:val="none" w:sz="0" w:space="0" w:color="auto"/>
          </w:divBdr>
        </w:div>
      </w:divsChild>
    </w:div>
    <w:div w:id="1631323645">
      <w:bodyDiv w:val="1"/>
      <w:marLeft w:val="0"/>
      <w:marRight w:val="0"/>
      <w:marTop w:val="0"/>
      <w:marBottom w:val="0"/>
      <w:divBdr>
        <w:top w:val="none" w:sz="0" w:space="0" w:color="auto"/>
        <w:left w:val="none" w:sz="0" w:space="0" w:color="auto"/>
        <w:bottom w:val="none" w:sz="0" w:space="0" w:color="auto"/>
        <w:right w:val="none" w:sz="0" w:space="0" w:color="auto"/>
      </w:divBdr>
      <w:divsChild>
        <w:div w:id="703948146">
          <w:marLeft w:val="0"/>
          <w:marRight w:val="0"/>
          <w:marTop w:val="0"/>
          <w:marBottom w:val="0"/>
          <w:divBdr>
            <w:top w:val="none" w:sz="0" w:space="0" w:color="auto"/>
            <w:left w:val="none" w:sz="0" w:space="0" w:color="auto"/>
            <w:bottom w:val="none" w:sz="0" w:space="0" w:color="auto"/>
            <w:right w:val="none" w:sz="0" w:space="0" w:color="auto"/>
          </w:divBdr>
        </w:div>
        <w:div w:id="1745682877">
          <w:marLeft w:val="0"/>
          <w:marRight w:val="0"/>
          <w:marTop w:val="0"/>
          <w:marBottom w:val="0"/>
          <w:divBdr>
            <w:top w:val="none" w:sz="0" w:space="0" w:color="auto"/>
            <w:left w:val="none" w:sz="0" w:space="0" w:color="auto"/>
            <w:bottom w:val="none" w:sz="0" w:space="0" w:color="auto"/>
            <w:right w:val="none" w:sz="0" w:space="0" w:color="auto"/>
          </w:divBdr>
        </w:div>
        <w:div w:id="1241674422">
          <w:marLeft w:val="0"/>
          <w:marRight w:val="0"/>
          <w:marTop w:val="0"/>
          <w:marBottom w:val="0"/>
          <w:divBdr>
            <w:top w:val="none" w:sz="0" w:space="0" w:color="auto"/>
            <w:left w:val="none" w:sz="0" w:space="0" w:color="auto"/>
            <w:bottom w:val="none" w:sz="0" w:space="0" w:color="auto"/>
            <w:right w:val="none" w:sz="0" w:space="0" w:color="auto"/>
          </w:divBdr>
        </w:div>
      </w:divsChild>
    </w:div>
    <w:div w:id="2000306488">
      <w:bodyDiv w:val="1"/>
      <w:marLeft w:val="0"/>
      <w:marRight w:val="0"/>
      <w:marTop w:val="0"/>
      <w:marBottom w:val="0"/>
      <w:divBdr>
        <w:top w:val="none" w:sz="0" w:space="0" w:color="auto"/>
        <w:left w:val="none" w:sz="0" w:space="0" w:color="auto"/>
        <w:bottom w:val="none" w:sz="0" w:space="0" w:color="auto"/>
        <w:right w:val="none" w:sz="0" w:space="0" w:color="auto"/>
      </w:divBdr>
      <w:divsChild>
        <w:div w:id="1171868287">
          <w:marLeft w:val="0"/>
          <w:marRight w:val="0"/>
          <w:marTop w:val="0"/>
          <w:marBottom w:val="0"/>
          <w:divBdr>
            <w:top w:val="none" w:sz="0" w:space="0" w:color="auto"/>
            <w:left w:val="none" w:sz="0" w:space="0" w:color="auto"/>
            <w:bottom w:val="none" w:sz="0" w:space="0" w:color="auto"/>
            <w:right w:val="none" w:sz="0" w:space="0" w:color="auto"/>
          </w:divBdr>
        </w:div>
      </w:divsChild>
    </w:div>
    <w:div w:id="2018578590">
      <w:bodyDiv w:val="1"/>
      <w:marLeft w:val="0"/>
      <w:marRight w:val="0"/>
      <w:marTop w:val="0"/>
      <w:marBottom w:val="0"/>
      <w:divBdr>
        <w:top w:val="none" w:sz="0" w:space="0" w:color="auto"/>
        <w:left w:val="none" w:sz="0" w:space="0" w:color="auto"/>
        <w:bottom w:val="none" w:sz="0" w:space="0" w:color="auto"/>
        <w:right w:val="none" w:sz="0" w:space="0" w:color="auto"/>
      </w:divBdr>
      <w:divsChild>
        <w:div w:id="771322944">
          <w:marLeft w:val="0"/>
          <w:marRight w:val="0"/>
          <w:marTop w:val="0"/>
          <w:marBottom w:val="0"/>
          <w:divBdr>
            <w:top w:val="none" w:sz="0" w:space="0" w:color="auto"/>
            <w:left w:val="none" w:sz="0" w:space="0" w:color="auto"/>
            <w:bottom w:val="none" w:sz="0" w:space="0" w:color="auto"/>
            <w:right w:val="none" w:sz="0" w:space="0" w:color="auto"/>
          </w:divBdr>
        </w:div>
        <w:div w:id="1589537426">
          <w:marLeft w:val="0"/>
          <w:marRight w:val="0"/>
          <w:marTop w:val="0"/>
          <w:marBottom w:val="0"/>
          <w:divBdr>
            <w:top w:val="none" w:sz="0" w:space="0" w:color="auto"/>
            <w:left w:val="none" w:sz="0" w:space="0" w:color="auto"/>
            <w:bottom w:val="none" w:sz="0" w:space="0" w:color="auto"/>
            <w:right w:val="none" w:sz="0" w:space="0" w:color="auto"/>
          </w:divBdr>
          <w:divsChild>
            <w:div w:id="477764993">
              <w:marLeft w:val="0"/>
              <w:marRight w:val="0"/>
              <w:marTop w:val="0"/>
              <w:marBottom w:val="0"/>
              <w:divBdr>
                <w:top w:val="none" w:sz="0" w:space="0" w:color="auto"/>
                <w:left w:val="none" w:sz="0" w:space="0" w:color="auto"/>
                <w:bottom w:val="none" w:sz="0" w:space="0" w:color="auto"/>
                <w:right w:val="none" w:sz="0" w:space="0" w:color="auto"/>
              </w:divBdr>
              <w:divsChild>
                <w:div w:id="1224024414">
                  <w:marLeft w:val="0"/>
                  <w:marRight w:val="0"/>
                  <w:marTop w:val="0"/>
                  <w:marBottom w:val="0"/>
                  <w:divBdr>
                    <w:top w:val="none" w:sz="0" w:space="0" w:color="auto"/>
                    <w:left w:val="none" w:sz="0" w:space="0" w:color="auto"/>
                    <w:bottom w:val="none" w:sz="0" w:space="0" w:color="auto"/>
                    <w:right w:val="none" w:sz="0" w:space="0" w:color="auto"/>
                  </w:divBdr>
                  <w:divsChild>
                    <w:div w:id="1508249403">
                      <w:marLeft w:val="0"/>
                      <w:marRight w:val="0"/>
                      <w:marTop w:val="0"/>
                      <w:marBottom w:val="0"/>
                      <w:divBdr>
                        <w:top w:val="none" w:sz="0" w:space="0" w:color="auto"/>
                        <w:left w:val="none" w:sz="0" w:space="0" w:color="auto"/>
                        <w:bottom w:val="none" w:sz="0" w:space="0" w:color="auto"/>
                        <w:right w:val="none" w:sz="0" w:space="0" w:color="auto"/>
                      </w:divBdr>
                      <w:divsChild>
                        <w:div w:id="19057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FB641-1E3C-4BBF-8E67-0E60DFA4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7925</Words>
  <Characters>45179</Characters>
  <Application>Microsoft Office Word</Application>
  <DocSecurity>0</DocSecurity>
  <Lines>376</Lines>
  <Paragraphs>105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CERME paper template</vt:lpstr>
      <vt:lpstr>CERME paper template</vt:lpstr>
    </vt:vector>
  </TitlesOfParts>
  <Company>PEDF UK</Company>
  <LinksUpToDate>false</LinksUpToDate>
  <CharactersWithSpaces>52999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CERME paper template</dc:title>
  <dc:creator>CERME</dc:creator>
  <cp:lastModifiedBy>Paul</cp:lastModifiedBy>
  <cp:revision>2</cp:revision>
  <cp:lastPrinted>1999-04-19T11:26:00Z</cp:lastPrinted>
  <dcterms:created xsi:type="dcterms:W3CDTF">2015-07-10T12:50:00Z</dcterms:created>
  <dcterms:modified xsi:type="dcterms:W3CDTF">2015-07-10T12:50:00Z</dcterms:modified>
</cp:coreProperties>
</file>